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eastAsia="宋体" w:cs="宋体"/>
          <w:b/>
          <w:color w:val="000000"/>
          <w:sz w:val="52"/>
          <w:szCs w:val="52"/>
        </w:rPr>
      </w:pPr>
      <w:r>
        <w:rPr>
          <w:rFonts w:hint="eastAsia" w:ascii="宋体" w:hAnsi="宋体" w:eastAsia="宋体" w:cs="宋体"/>
          <w:b/>
          <w:color w:val="000000"/>
          <w:sz w:val="52"/>
          <w:szCs w:val="52"/>
        </w:rPr>
        <w:t>阳山县管道燃气特许经营</w:t>
      </w:r>
    </w:p>
    <w:p>
      <w:pPr>
        <w:jc w:val="center"/>
        <w:rPr>
          <w:rFonts w:hint="eastAsia" w:ascii="宋体" w:hAnsi="宋体" w:eastAsia="宋体" w:cs="宋体"/>
          <w:b/>
          <w:color w:val="000000"/>
          <w:spacing w:val="40"/>
          <w:sz w:val="52"/>
          <w:szCs w:val="52"/>
        </w:rPr>
      </w:pPr>
    </w:p>
    <w:p>
      <w:pPr>
        <w:jc w:val="center"/>
        <w:rPr>
          <w:rFonts w:hint="eastAsia" w:ascii="黑体" w:eastAsia="黑体"/>
          <w:b/>
          <w:bCs/>
          <w:color w:val="000000"/>
          <w:sz w:val="32"/>
        </w:rPr>
      </w:pPr>
      <w:r>
        <w:rPr>
          <w:rFonts w:hint="eastAsia" w:ascii="隶书" w:hAnsi="隶书" w:eastAsia="隶书" w:cs="隶书"/>
          <w:b/>
          <w:color w:val="000000"/>
          <w:spacing w:val="40"/>
          <w:sz w:val="72"/>
          <w:szCs w:val="72"/>
        </w:rPr>
        <w:t>评估报告</w:t>
      </w:r>
    </w:p>
    <w:p>
      <w:pPr>
        <w:rPr>
          <w:rFonts w:hint="eastAsia"/>
          <w:b/>
          <w:color w:val="000000"/>
        </w:rPr>
      </w:pPr>
    </w:p>
    <w:p>
      <w:pPr>
        <w:rPr>
          <w:rFonts w:hint="eastAsia" w:ascii="黑体" w:eastAsia="黑体"/>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bookmarkStart w:id="35" w:name="_GoBack"/>
      <w:bookmarkEnd w:id="35"/>
    </w:p>
    <w:p>
      <w:pPr>
        <w:jc w:val="center"/>
        <w:rPr>
          <w:rFonts w:hint="eastAsia" w:ascii="幼圆" w:eastAsia="幼圆"/>
          <w:b/>
          <w:color w:val="000000"/>
        </w:rPr>
      </w:pPr>
    </w:p>
    <w:p>
      <w:pPr>
        <w:ind w:firstLine="1810" w:firstLineChars="545"/>
        <w:rPr>
          <w:rFonts w:hint="eastAsia" w:ascii="宋体" w:hAnsi="宋体" w:eastAsia="宋体" w:cs="宋体"/>
          <w:b/>
          <w:sz w:val="36"/>
          <w:szCs w:val="36"/>
        </w:rPr>
      </w:pPr>
      <w:r>
        <w:rPr>
          <w:rFonts w:hint="eastAsia" w:ascii="宋体" w:hAnsi="宋体" w:eastAsia="宋体" w:cs="宋体"/>
          <w:b/>
          <w:sz w:val="36"/>
          <w:szCs w:val="36"/>
        </w:rPr>
        <w:t>证书等级：市政（燃气、热力）甲级</w:t>
      </w:r>
    </w:p>
    <w:p>
      <w:pPr>
        <w:ind w:firstLine="1810" w:firstLineChars="545"/>
        <w:rPr>
          <w:rFonts w:hint="eastAsia" w:ascii="宋体" w:hAnsi="宋体" w:eastAsia="宋体" w:cs="宋体"/>
          <w:b/>
          <w:sz w:val="36"/>
          <w:szCs w:val="36"/>
        </w:rPr>
      </w:pPr>
      <w:r>
        <w:rPr>
          <w:rFonts w:hint="eastAsia" w:ascii="宋体" w:hAnsi="宋体" w:eastAsia="宋体" w:cs="宋体"/>
          <w:b/>
          <w:sz w:val="36"/>
          <w:szCs w:val="36"/>
        </w:rPr>
        <w:t>证书编号：A121000076</w:t>
      </w:r>
    </w:p>
    <w:p>
      <w:pPr>
        <w:ind w:firstLine="996" w:firstLineChars="300"/>
        <w:jc w:val="center"/>
        <w:rPr>
          <w:rFonts w:hint="eastAsia" w:ascii="宋体" w:hAnsi="宋体" w:eastAsia="宋体" w:cs="宋体"/>
          <w:b/>
          <w:sz w:val="36"/>
          <w:szCs w:val="36"/>
        </w:rPr>
      </w:pPr>
    </w:p>
    <w:p>
      <w:pPr>
        <w:jc w:val="center"/>
        <w:rPr>
          <w:rFonts w:hint="eastAsia" w:ascii="宋体" w:hAnsi="宋体" w:eastAsia="宋体" w:cs="宋体"/>
          <w:b/>
          <w:sz w:val="36"/>
          <w:szCs w:val="36"/>
        </w:rPr>
      </w:pPr>
      <w:r>
        <w:rPr>
          <w:rFonts w:hint="eastAsia" w:ascii="宋体" w:hAnsi="宋体" w:eastAsia="宋体" w:cs="宋体"/>
          <w:b/>
          <w:sz w:val="36"/>
          <w:szCs w:val="36"/>
        </w:rPr>
        <w:t>中交煤气热力研究设计院有限公司</w:t>
      </w:r>
    </w:p>
    <w:p>
      <w:pPr>
        <w:jc w:val="center"/>
        <w:rPr>
          <w:rFonts w:hint="eastAsia"/>
        </w:rPr>
      </w:pPr>
      <w:r>
        <w:rPr>
          <w:rFonts w:hint="eastAsia" w:ascii="宋体" w:hAnsi="宋体" w:eastAsia="宋体" w:cs="宋体"/>
          <w:b/>
          <w:sz w:val="36"/>
          <w:szCs w:val="36"/>
        </w:rPr>
        <w:t>2016 年 7 月</w:t>
      </w:r>
    </w:p>
    <w:p>
      <w:pPr>
        <w:jc w:val="center"/>
        <w:rPr>
          <w:rFonts w:hint="eastAsia" w:cs="Times New Roman"/>
          <w:color w:val="auto"/>
          <w:sz w:val="30"/>
          <w:szCs w:val="30"/>
          <w:highlight w:val="none"/>
          <w:shd w:val="clear" w:color="auto" w:fill="FFFFFF"/>
        </w:rPr>
      </w:pPr>
    </w:p>
    <w:p>
      <w:pPr>
        <w:jc w:val="center"/>
        <w:rPr>
          <w:rFonts w:cs="Times New Roman"/>
          <w:color w:val="auto"/>
          <w:sz w:val="30"/>
          <w:szCs w:val="30"/>
          <w:highlight w:val="none"/>
          <w:shd w:val="clear" w:color="auto" w:fill="FFFFFF"/>
        </w:rPr>
      </w:pPr>
      <w:r>
        <w:rPr>
          <w:rFonts w:hint="eastAsia" w:cs="Times New Roman"/>
          <w:color w:val="auto"/>
          <w:sz w:val="30"/>
          <w:szCs w:val="30"/>
          <w:highlight w:val="none"/>
          <w:shd w:val="clear" w:color="auto" w:fill="FFFFFF"/>
        </w:rPr>
        <w:t>目录</w:t>
      </w:r>
    </w:p>
    <w:p>
      <w:pPr>
        <w:pStyle w:val="15"/>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color w:val="auto"/>
          <w:highlight w:val="none"/>
        </w:rPr>
        <w:fldChar w:fldCharType="begin"/>
      </w:r>
      <w:r>
        <w:rPr>
          <w:rFonts w:hint="eastAsia"/>
          <w:color w:val="auto"/>
          <w:highlight w:val="none"/>
        </w:rPr>
        <w:instrText xml:space="preserve">TOC \o "1-2" \h \u </w:instrText>
      </w:r>
      <w:r>
        <w:rPr>
          <w:rFonts w:hint="eastAsia"/>
          <w:color w:val="auto"/>
          <w:highlight w:val="none"/>
        </w:rPr>
        <w:fldChar w:fldCharType="separate"/>
      </w: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_Toc967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shd w:val="clear" w:color="auto" w:fill="FFFFFF"/>
          <w:lang w:val="en-US" w:eastAsia="zh-CN" w:bidi="ar-SA"/>
        </w:rPr>
        <w:t xml:space="preserve">1. </w:t>
      </w:r>
      <w:r>
        <w:rPr>
          <w:rFonts w:eastAsia="宋体" w:asciiTheme="minorHAnsi" w:hAnsiTheme="minorHAnsi" w:cstheme="minorBidi"/>
          <w:color w:val="auto"/>
          <w:kern w:val="2"/>
          <w:szCs w:val="24"/>
          <w:highlight w:val="none"/>
          <w:lang w:val="en-US" w:eastAsia="zh-CN" w:bidi="ar-SA"/>
        </w:rPr>
        <w:t>项目概况</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_Toc967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3</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_Toc27933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8"/>
          <w:highlight w:val="none"/>
          <w:lang w:val="en-US" w:eastAsia="zh-CN" w:bidi="ar-SA"/>
        </w:rPr>
        <w:t>1.1</w:t>
      </w:r>
      <w:r>
        <w:rPr>
          <w:rFonts w:eastAsia="宋体" w:asciiTheme="minorHAnsi" w:hAnsiTheme="minorHAnsi" w:cstheme="minorBidi"/>
          <w:color w:val="auto"/>
          <w:kern w:val="2"/>
          <w:szCs w:val="28"/>
          <w:highlight w:val="none"/>
          <w:lang w:val="en-US" w:eastAsia="zh-CN" w:bidi="ar-SA"/>
        </w:rPr>
        <w:t>项目名称</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_Toc27933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3</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_Toc29881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1.2</w:t>
      </w:r>
      <w:r>
        <w:rPr>
          <w:rFonts w:eastAsia="宋体" w:asciiTheme="minorHAnsi" w:hAnsiTheme="minorHAnsi" w:cstheme="minorBidi"/>
          <w:color w:val="auto"/>
          <w:kern w:val="2"/>
          <w:szCs w:val="24"/>
          <w:highlight w:val="none"/>
          <w:lang w:val="en-US" w:eastAsia="zh-CN" w:bidi="ar-SA"/>
        </w:rPr>
        <w:t>项目地点</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_Toc29881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3</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_Toc25536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1.3</w:t>
      </w:r>
      <w:r>
        <w:rPr>
          <w:rFonts w:eastAsia="宋体" w:asciiTheme="minorHAnsi" w:hAnsiTheme="minorHAnsi" w:cstheme="minorBidi"/>
          <w:color w:val="auto"/>
          <w:kern w:val="2"/>
          <w:szCs w:val="24"/>
          <w:highlight w:val="none"/>
          <w:lang w:val="en-US" w:eastAsia="zh-CN" w:bidi="ar-SA"/>
        </w:rPr>
        <w:t>项目内容及规模</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_Toc25536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5</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_Toc21258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1.4</w:t>
      </w:r>
      <w:r>
        <w:rPr>
          <w:rFonts w:eastAsia="宋体" w:asciiTheme="minorHAnsi" w:hAnsiTheme="minorHAnsi" w:cstheme="minorBidi"/>
          <w:color w:val="auto"/>
          <w:kern w:val="2"/>
          <w:szCs w:val="24"/>
          <w:highlight w:val="none"/>
          <w:lang w:val="en-US" w:eastAsia="zh-CN" w:bidi="ar-SA"/>
        </w:rPr>
        <w:t>项目实施目标与原则</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_Toc21258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7</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5"/>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_Toc9788 </w:instrText>
      </w:r>
      <w:r>
        <w:rPr>
          <w:rFonts w:hint="eastAsia"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w:t>
      </w:r>
      <w:r>
        <w:rPr>
          <w:rFonts w:eastAsia="宋体" w:asciiTheme="minorHAnsi" w:hAnsiTheme="minorHAnsi" w:cstheme="minorBidi"/>
          <w:color w:val="auto"/>
          <w:kern w:val="44"/>
          <w:szCs w:val="24"/>
          <w:highlight w:val="none"/>
          <w:shd w:val="clear" w:fill="FFFFFF"/>
          <w:lang w:val="en-US" w:eastAsia="zh-CN" w:bidi="ar-SA"/>
        </w:rPr>
        <w:t xml:space="preserve">. </w:t>
      </w:r>
      <w:r>
        <w:rPr>
          <w:rFonts w:eastAsia="宋体" w:asciiTheme="minorHAnsi" w:hAnsiTheme="minorHAnsi" w:cstheme="minorBidi"/>
          <w:color w:val="auto"/>
          <w:kern w:val="2"/>
          <w:szCs w:val="24"/>
          <w:highlight w:val="none"/>
          <w:shd w:val="clear" w:color="auto" w:fill="FFFFFF"/>
          <w:lang w:val="en-US" w:eastAsia="zh-CN" w:bidi="ar-SA"/>
        </w:rPr>
        <w:t>项目全生命周期成本、技术路线和工程方案的合理性</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_Toc9788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9</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44"/>
          <w:szCs w:val="24"/>
          <w:highlight w:val="none"/>
          <w:shd w:val="clear" w:fill="FFFFFF"/>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_Toc1766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shd w:val="clear" w:color="auto" w:fill="FFFFFF"/>
          <w:lang w:val="en-US" w:eastAsia="zh-CN" w:bidi="ar-SA"/>
        </w:rPr>
        <w:t>2.1</w:t>
      </w:r>
      <w:r>
        <w:rPr>
          <w:rFonts w:eastAsia="宋体" w:asciiTheme="minorHAnsi" w:hAnsiTheme="minorHAnsi" w:cstheme="minorBidi"/>
          <w:color w:val="auto"/>
          <w:kern w:val="2"/>
          <w:szCs w:val="24"/>
          <w:highlight w:val="none"/>
          <w:shd w:val="clear" w:color="auto" w:fill="FFFFFF"/>
          <w:lang w:val="en-US" w:eastAsia="zh-CN" w:bidi="ar-SA"/>
        </w:rPr>
        <w:t>项目全生命周期成本</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_Toc1766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9</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_Toc24028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2.2</w:t>
      </w:r>
      <w:r>
        <w:rPr>
          <w:rFonts w:eastAsia="宋体" w:asciiTheme="minorHAnsi" w:hAnsiTheme="minorHAnsi" w:cstheme="minorBidi"/>
          <w:color w:val="auto"/>
          <w:kern w:val="2"/>
          <w:szCs w:val="24"/>
          <w:highlight w:val="none"/>
          <w:lang w:val="en-US" w:eastAsia="zh-CN" w:bidi="ar-SA"/>
        </w:rPr>
        <w:t>技术路线和工程方案的合理性</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_Toc24028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12</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5"/>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_Toc5897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shd w:val="clear" w:color="auto" w:fill="FFFFFF"/>
          <w:lang w:val="en-US" w:eastAsia="zh-CN" w:bidi="ar-SA"/>
        </w:rPr>
        <w:t>3.</w:t>
      </w:r>
      <w:r>
        <w:rPr>
          <w:rFonts w:eastAsia="宋体" w:asciiTheme="minorHAnsi" w:hAnsiTheme="minorHAnsi" w:cstheme="minorBidi"/>
          <w:color w:val="auto"/>
          <w:kern w:val="2"/>
          <w:szCs w:val="24"/>
          <w:highlight w:val="none"/>
          <w:shd w:val="clear" w:color="auto" w:fill="FFFFFF"/>
          <w:lang w:val="en-US" w:eastAsia="zh-CN" w:bidi="ar-SA"/>
        </w:rPr>
        <w:t>资金筹措方式、融资规模及资金成本</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_Toc5897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16</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_Toc30340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3.1</w:t>
      </w:r>
      <w:r>
        <w:rPr>
          <w:rFonts w:eastAsia="宋体" w:asciiTheme="minorHAnsi" w:hAnsiTheme="minorHAnsi" w:cstheme="minorBidi"/>
          <w:color w:val="auto"/>
          <w:kern w:val="2"/>
          <w:szCs w:val="24"/>
          <w:highlight w:val="none"/>
          <w:lang w:val="en-US" w:eastAsia="zh-CN" w:bidi="ar-SA"/>
        </w:rPr>
        <w:t>资金筹措方式</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_Toc30340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16</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_Toc10110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3.2</w:t>
      </w:r>
      <w:r>
        <w:rPr>
          <w:rFonts w:eastAsia="宋体" w:asciiTheme="minorHAnsi" w:hAnsiTheme="minorHAnsi" w:cstheme="minorBidi"/>
          <w:color w:val="auto"/>
          <w:kern w:val="2"/>
          <w:szCs w:val="24"/>
          <w:highlight w:val="none"/>
          <w:lang w:val="en-US" w:eastAsia="zh-CN" w:bidi="ar-SA"/>
        </w:rPr>
        <w:t>融资规模及资金成本</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_Toc10110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16</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5"/>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_Toc5372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shd w:val="clear" w:color="auto" w:fill="FFFFFF"/>
          <w:lang w:val="en-US" w:eastAsia="zh-CN" w:bidi="ar-SA"/>
        </w:rPr>
        <w:t>4.</w:t>
      </w:r>
      <w:r>
        <w:rPr>
          <w:rFonts w:eastAsia="宋体" w:asciiTheme="minorHAnsi" w:hAnsiTheme="minorHAnsi" w:cstheme="minorBidi"/>
          <w:color w:val="auto"/>
          <w:kern w:val="2"/>
          <w:szCs w:val="24"/>
          <w:highlight w:val="none"/>
          <w:shd w:val="clear" w:color="auto" w:fill="FFFFFF"/>
          <w:lang w:val="en-US" w:eastAsia="zh-CN" w:bidi="ar-SA"/>
        </w:rPr>
        <w:t>管道燃气公共服务的质量效率</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_Toc5372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17</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_Toc16175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4.1气源的保障</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_Toc16175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17</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_Toc19651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4.2</w:t>
      </w:r>
      <w:r>
        <w:rPr>
          <w:rFonts w:eastAsia="宋体" w:asciiTheme="minorHAnsi" w:hAnsiTheme="minorHAnsi" w:cstheme="minorBidi"/>
          <w:color w:val="auto"/>
          <w:kern w:val="2"/>
          <w:szCs w:val="24"/>
          <w:highlight w:val="none"/>
          <w:lang w:val="en-US" w:eastAsia="zh-CN" w:bidi="ar-SA"/>
        </w:rPr>
        <w:t>产品质量的保障</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_Toc19651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18</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_Toc4846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4.3服务质量</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_Toc4846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18</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_Toc31082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4.4供气安全</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_Toc31082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19</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_Toc18923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4.5</w:t>
      </w:r>
      <w:r>
        <w:rPr>
          <w:rFonts w:eastAsia="宋体" w:asciiTheme="minorHAnsi" w:hAnsiTheme="minorHAnsi" w:cstheme="minorBidi"/>
          <w:color w:val="auto"/>
          <w:kern w:val="2"/>
          <w:szCs w:val="24"/>
          <w:highlight w:val="none"/>
          <w:lang w:val="en-US" w:eastAsia="zh-CN" w:bidi="ar-SA"/>
        </w:rPr>
        <w:t>产品</w:t>
      </w:r>
      <w:r>
        <w:rPr>
          <w:rFonts w:hint="eastAsia" w:eastAsia="宋体" w:asciiTheme="minorHAnsi" w:hAnsiTheme="minorHAnsi" w:cstheme="minorBidi"/>
          <w:color w:val="auto"/>
          <w:kern w:val="2"/>
          <w:szCs w:val="24"/>
          <w:highlight w:val="none"/>
          <w:lang w:val="en-US" w:eastAsia="zh-CN" w:bidi="ar-SA"/>
        </w:rPr>
        <w:t>价格</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_Toc18923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19</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5"/>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_Toc32703 </w:instrText>
      </w:r>
      <w:r>
        <w:rPr>
          <w:rFonts w:hint="eastAsia"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5</w:t>
      </w:r>
      <w:r>
        <w:rPr>
          <w:rFonts w:eastAsia="宋体" w:asciiTheme="minorHAnsi" w:hAnsiTheme="minorHAnsi" w:cstheme="minorBidi"/>
          <w:color w:val="auto"/>
          <w:kern w:val="44"/>
          <w:szCs w:val="24"/>
          <w:highlight w:val="none"/>
          <w:shd w:val="clear" w:fill="FFFFFF"/>
          <w:lang w:val="en-US" w:eastAsia="zh-CN" w:bidi="ar-SA"/>
        </w:rPr>
        <w:t xml:space="preserve">. </w:t>
      </w:r>
      <w:r>
        <w:rPr>
          <w:rFonts w:eastAsia="宋体" w:asciiTheme="minorHAnsi" w:hAnsiTheme="minorHAnsi" w:cstheme="minorBidi"/>
          <w:color w:val="auto"/>
          <w:kern w:val="2"/>
          <w:szCs w:val="24"/>
          <w:highlight w:val="none"/>
          <w:shd w:val="clear" w:color="auto" w:fill="FFFFFF"/>
          <w:lang w:val="en-US" w:eastAsia="zh-CN" w:bidi="ar-SA"/>
        </w:rPr>
        <w:t>建设运营标准和监管要求</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_Toc32703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21</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44"/>
          <w:szCs w:val="24"/>
          <w:highlight w:val="none"/>
          <w:shd w:val="clear" w:fill="FFFFFF"/>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_Toc3757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5.1</w:t>
      </w:r>
      <w:r>
        <w:rPr>
          <w:rFonts w:eastAsia="宋体" w:asciiTheme="minorHAnsi" w:hAnsiTheme="minorHAnsi" w:cstheme="minorBidi"/>
          <w:color w:val="auto"/>
          <w:kern w:val="2"/>
          <w:szCs w:val="24"/>
          <w:highlight w:val="none"/>
          <w:lang w:val="en-US" w:eastAsia="zh-CN" w:bidi="ar-SA"/>
        </w:rPr>
        <w:t>建设运营标准</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_Toc3757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21</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_Toc7504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5.2监管要求</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_Toc7504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24</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5"/>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_Toc6413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shd w:val="clear" w:color="auto" w:fill="FFFFFF"/>
          <w:lang w:val="en-US" w:eastAsia="zh-CN" w:bidi="ar-SA"/>
        </w:rPr>
        <w:t>6.</w:t>
      </w:r>
      <w:r>
        <w:rPr>
          <w:rFonts w:eastAsia="宋体" w:asciiTheme="minorHAnsi" w:hAnsiTheme="minorHAnsi" w:cstheme="minorBidi"/>
          <w:color w:val="auto"/>
          <w:kern w:val="2"/>
          <w:szCs w:val="24"/>
          <w:highlight w:val="none"/>
          <w:shd w:val="clear" w:color="auto" w:fill="FFFFFF"/>
          <w:lang w:val="en-US" w:eastAsia="zh-CN" w:bidi="ar-SA"/>
        </w:rPr>
        <w:t>市场发育程度</w:t>
      </w:r>
      <w:r>
        <w:rPr>
          <w:rFonts w:hint="eastAsia" w:eastAsia="宋体" w:asciiTheme="minorHAnsi" w:hAnsiTheme="minorHAnsi" w:cstheme="minorBidi"/>
          <w:color w:val="auto"/>
          <w:kern w:val="2"/>
          <w:szCs w:val="24"/>
          <w:highlight w:val="none"/>
          <w:shd w:val="clear" w:color="auto" w:fill="FFFFFF"/>
          <w:lang w:val="en-US" w:eastAsia="zh-CN" w:bidi="ar-SA"/>
        </w:rPr>
        <w:t>、</w:t>
      </w:r>
      <w:r>
        <w:rPr>
          <w:rFonts w:eastAsia="宋体" w:asciiTheme="minorHAnsi" w:hAnsiTheme="minorHAnsi" w:cstheme="minorBidi"/>
          <w:color w:val="auto"/>
          <w:kern w:val="2"/>
          <w:szCs w:val="24"/>
          <w:highlight w:val="none"/>
          <w:shd w:val="clear" w:color="auto" w:fill="FFFFFF"/>
          <w:lang w:val="en-US" w:eastAsia="zh-CN" w:bidi="ar-SA"/>
        </w:rPr>
        <w:t>市场主体建设运营能力状况和参与意愿</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_Toc6413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25</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_Toc24850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6.1</w:t>
      </w:r>
      <w:r>
        <w:rPr>
          <w:rFonts w:eastAsia="宋体" w:asciiTheme="minorHAnsi" w:hAnsiTheme="minorHAnsi" w:cstheme="minorBidi"/>
          <w:color w:val="auto"/>
          <w:kern w:val="2"/>
          <w:szCs w:val="24"/>
          <w:highlight w:val="none"/>
          <w:lang w:val="en-US" w:eastAsia="zh-CN" w:bidi="ar-SA"/>
        </w:rPr>
        <w:t>市场发育程度</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_Toc24850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25</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_Toc193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shd w:val="clear" w:color="auto" w:fill="FFFFFF"/>
          <w:lang w:val="en-US" w:eastAsia="zh-CN" w:bidi="ar-SA"/>
        </w:rPr>
        <w:t>6.2</w:t>
      </w:r>
      <w:r>
        <w:rPr>
          <w:rFonts w:eastAsia="宋体" w:asciiTheme="minorHAnsi" w:hAnsiTheme="minorHAnsi" w:cstheme="minorBidi"/>
          <w:color w:val="auto"/>
          <w:kern w:val="2"/>
          <w:szCs w:val="24"/>
          <w:highlight w:val="none"/>
          <w:shd w:val="clear" w:color="auto" w:fill="FFFFFF"/>
          <w:lang w:val="en-US" w:eastAsia="zh-CN" w:bidi="ar-SA"/>
        </w:rPr>
        <w:t>市场主体建设运营能力状况和参与意愿</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_Toc193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26</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5"/>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_Toc32300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lang w:val="en-US" w:eastAsia="zh-CN" w:bidi="ar-SA"/>
        </w:rPr>
        <w:t>7.</w:t>
      </w:r>
      <w:r>
        <w:rPr>
          <w:rFonts w:eastAsia="宋体" w:asciiTheme="minorHAnsi" w:hAnsiTheme="minorHAnsi" w:cstheme="minorBidi"/>
          <w:color w:val="auto"/>
          <w:kern w:val="2"/>
          <w:szCs w:val="24"/>
          <w:highlight w:val="none"/>
          <w:lang w:val="en-US" w:eastAsia="zh-CN" w:bidi="ar-SA"/>
        </w:rPr>
        <w:t>用户付费项目公众支付意愿和能力评估</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_Toc32300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27</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_Toc25972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shd w:val="clear" w:color="auto" w:fill="FFFFFF"/>
          <w:lang w:val="en-US" w:eastAsia="zh-CN" w:bidi="ar-SA"/>
        </w:rPr>
        <w:t>7.1</w:t>
      </w:r>
      <w:r>
        <w:rPr>
          <w:rFonts w:eastAsia="宋体" w:asciiTheme="minorHAnsi" w:hAnsiTheme="minorHAnsi" w:cstheme="minorBidi"/>
          <w:color w:val="auto"/>
          <w:kern w:val="2"/>
          <w:szCs w:val="24"/>
          <w:highlight w:val="none"/>
          <w:shd w:val="clear" w:color="auto" w:fill="FFFFFF"/>
          <w:lang w:val="en-US" w:eastAsia="zh-CN" w:bidi="ar-SA"/>
        </w:rPr>
        <w:t>公众支付意愿</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_Toc25972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27</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pStyle w:val="18"/>
        <w:tabs>
          <w:tab w:val="right" w:leader="dot" w:pos="8930"/>
        </w:tabs>
        <w:rPr>
          <w:rFonts w:eastAsia="宋体" w:asciiTheme="minorHAnsi" w:hAnsiTheme="minorHAnsi" w:cstheme="minorBidi"/>
          <w:color w:val="auto"/>
          <w:kern w:val="2"/>
          <w:szCs w:val="24"/>
          <w:highlight w:val="none"/>
          <w:lang w:val="en-US" w:eastAsia="zh-CN" w:bidi="ar-SA"/>
        </w:rPr>
      </w:pPr>
      <w:r>
        <w:rPr>
          <w:rFonts w:hint="eastAsia" w:eastAsia="宋体" w:asciiTheme="minorHAnsi" w:hAnsiTheme="minorHAnsi" w:cstheme="minorBidi"/>
          <w:color w:val="auto"/>
          <w:kern w:val="2"/>
          <w:szCs w:val="24"/>
          <w:highlight w:val="none"/>
          <w:lang w:val="en-US" w:eastAsia="zh-CN" w:bidi="ar-SA"/>
        </w:rPr>
        <w:fldChar w:fldCharType="begin"/>
      </w:r>
      <w:r>
        <w:rPr>
          <w:rFonts w:hint="eastAsia" w:eastAsia="宋体" w:asciiTheme="minorHAnsi" w:hAnsiTheme="minorHAnsi" w:cstheme="minorBidi"/>
          <w:color w:val="auto"/>
          <w:kern w:val="2"/>
          <w:szCs w:val="24"/>
          <w:highlight w:val="none"/>
          <w:lang w:val="en-US" w:eastAsia="zh-CN" w:bidi="ar-SA"/>
        </w:rPr>
        <w:instrText xml:space="preserve"> HYPERLINK \l _Toc29240 </w:instrText>
      </w:r>
      <w:r>
        <w:rPr>
          <w:rFonts w:hint="eastAsia" w:eastAsia="宋体" w:asciiTheme="minorHAnsi" w:hAnsiTheme="minorHAnsi" w:cstheme="minorBidi"/>
          <w:color w:val="auto"/>
          <w:kern w:val="2"/>
          <w:szCs w:val="24"/>
          <w:highlight w:val="none"/>
          <w:lang w:val="en-US" w:eastAsia="zh-CN" w:bidi="ar-SA"/>
        </w:rPr>
        <w:fldChar w:fldCharType="separate"/>
      </w:r>
      <w:r>
        <w:rPr>
          <w:rFonts w:hint="eastAsia" w:eastAsia="宋体" w:asciiTheme="minorHAnsi" w:hAnsiTheme="minorHAnsi" w:cstheme="minorBidi"/>
          <w:color w:val="auto"/>
          <w:kern w:val="2"/>
          <w:szCs w:val="24"/>
          <w:highlight w:val="none"/>
          <w:shd w:val="clear" w:color="auto" w:fill="FFFFFF"/>
          <w:lang w:val="en-US" w:eastAsia="zh-CN" w:bidi="ar-SA"/>
        </w:rPr>
        <w:t>7.2</w:t>
      </w:r>
      <w:r>
        <w:rPr>
          <w:rFonts w:eastAsia="宋体" w:asciiTheme="minorHAnsi" w:hAnsiTheme="minorHAnsi" w:cstheme="minorBidi"/>
          <w:color w:val="auto"/>
          <w:kern w:val="2"/>
          <w:szCs w:val="24"/>
          <w:highlight w:val="none"/>
          <w:shd w:val="clear" w:color="auto" w:fill="FFFFFF"/>
          <w:lang w:val="en-US" w:eastAsia="zh-CN" w:bidi="ar-SA"/>
        </w:rPr>
        <w:t>公众支付能力评估</w:t>
      </w:r>
      <w:r>
        <w:rPr>
          <w:rFonts w:eastAsia="宋体" w:asciiTheme="minorHAnsi" w:hAnsiTheme="minorHAnsi" w:cstheme="minorBidi"/>
          <w:color w:val="auto"/>
          <w:kern w:val="2"/>
          <w:szCs w:val="24"/>
          <w:highlight w:val="none"/>
          <w:lang w:val="en-US" w:eastAsia="zh-CN" w:bidi="ar-SA"/>
        </w:rPr>
        <w:tab/>
      </w:r>
      <w:r>
        <w:rPr>
          <w:rFonts w:eastAsia="宋体" w:asciiTheme="minorHAnsi" w:hAnsiTheme="minorHAnsi" w:cstheme="minorBidi"/>
          <w:color w:val="auto"/>
          <w:kern w:val="2"/>
          <w:szCs w:val="24"/>
          <w:highlight w:val="none"/>
          <w:lang w:val="en-US" w:eastAsia="zh-CN" w:bidi="ar-SA"/>
        </w:rPr>
        <w:fldChar w:fldCharType="begin"/>
      </w:r>
      <w:r>
        <w:rPr>
          <w:rFonts w:eastAsia="宋体" w:asciiTheme="minorHAnsi" w:hAnsiTheme="minorHAnsi" w:cstheme="minorBidi"/>
          <w:color w:val="auto"/>
          <w:kern w:val="2"/>
          <w:szCs w:val="24"/>
          <w:highlight w:val="none"/>
          <w:lang w:val="en-US" w:eastAsia="zh-CN" w:bidi="ar-SA"/>
        </w:rPr>
        <w:instrText xml:space="preserve"> PAGEREF _Toc29240 </w:instrText>
      </w:r>
      <w:r>
        <w:rPr>
          <w:rFonts w:eastAsia="宋体" w:asciiTheme="minorHAnsi" w:hAnsiTheme="minorHAnsi" w:cstheme="minorBidi"/>
          <w:color w:val="auto"/>
          <w:kern w:val="2"/>
          <w:szCs w:val="24"/>
          <w:highlight w:val="none"/>
          <w:lang w:val="en-US" w:eastAsia="zh-CN" w:bidi="ar-SA"/>
        </w:rPr>
        <w:fldChar w:fldCharType="separate"/>
      </w:r>
      <w:r>
        <w:rPr>
          <w:rFonts w:eastAsia="宋体" w:asciiTheme="minorHAnsi" w:hAnsiTheme="minorHAnsi" w:cstheme="minorBidi"/>
          <w:color w:val="auto"/>
          <w:kern w:val="2"/>
          <w:szCs w:val="24"/>
          <w:highlight w:val="none"/>
          <w:lang w:val="en-US" w:eastAsia="zh-CN" w:bidi="ar-SA"/>
        </w:rPr>
        <w:t>29</w:t>
      </w:r>
      <w:r>
        <w:rPr>
          <w:rFonts w:eastAsia="宋体" w:asciiTheme="minorHAnsi" w:hAnsiTheme="minorHAnsi" w:cstheme="minorBidi"/>
          <w:color w:val="auto"/>
          <w:kern w:val="2"/>
          <w:szCs w:val="24"/>
          <w:highlight w:val="none"/>
          <w:lang w:val="en-US" w:eastAsia="zh-CN" w:bidi="ar-SA"/>
        </w:rPr>
        <w:fldChar w:fldCharType="end"/>
      </w:r>
      <w:r>
        <w:rPr>
          <w:rFonts w:hint="eastAsia" w:eastAsia="宋体" w:asciiTheme="minorHAnsi" w:hAnsiTheme="minorHAnsi" w:cstheme="minorBidi"/>
          <w:color w:val="auto"/>
          <w:kern w:val="2"/>
          <w:szCs w:val="24"/>
          <w:highlight w:val="none"/>
          <w:lang w:val="en-US" w:eastAsia="zh-CN" w:bidi="ar-SA"/>
        </w:rPr>
        <w:fldChar w:fldCharType="end"/>
      </w:r>
    </w:p>
    <w:p>
      <w:pPr>
        <w:rPr>
          <w:color w:val="auto"/>
          <w:highlight w:val="none"/>
        </w:rPr>
      </w:pPr>
      <w:r>
        <w:rPr>
          <w:rFonts w:hint="eastAsia" w:eastAsia="宋体" w:asciiTheme="minorHAnsi" w:hAnsiTheme="minorHAnsi" w:cstheme="minorBidi"/>
          <w:color w:val="auto"/>
          <w:kern w:val="2"/>
          <w:szCs w:val="24"/>
          <w:highlight w:val="none"/>
          <w:lang w:val="en-US" w:eastAsia="zh-CN" w:bidi="ar-SA"/>
        </w:rPr>
        <w:fldChar w:fldCharType="end"/>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pStyle w:val="2"/>
        <w:rPr>
          <w:color w:val="auto"/>
          <w:highlight w:val="none"/>
        </w:rPr>
      </w:pPr>
      <w:bookmarkStart w:id="0" w:name="_Toc967"/>
      <w:r>
        <w:rPr>
          <w:rFonts w:hint="eastAsia"/>
          <w:color w:val="auto"/>
          <w:highlight w:val="none"/>
          <w:shd w:val="clear" w:color="auto" w:fill="FFFFFF"/>
        </w:rPr>
        <w:t xml:space="preserve">1. </w:t>
      </w:r>
      <w:r>
        <w:rPr>
          <w:color w:val="auto"/>
          <w:highlight w:val="none"/>
        </w:rPr>
        <w:t>项目概况</w:t>
      </w:r>
      <w:bookmarkEnd w:id="0"/>
    </w:p>
    <w:p>
      <w:pPr>
        <w:pStyle w:val="3"/>
        <w:rPr>
          <w:color w:val="auto"/>
          <w:szCs w:val="28"/>
          <w:highlight w:val="none"/>
        </w:rPr>
      </w:pPr>
      <w:bookmarkStart w:id="1" w:name="_Toc27933"/>
      <w:r>
        <w:rPr>
          <w:rFonts w:hint="eastAsia"/>
          <w:color w:val="auto"/>
          <w:szCs w:val="28"/>
          <w:highlight w:val="none"/>
        </w:rPr>
        <w:t>1.1</w:t>
      </w:r>
      <w:r>
        <w:rPr>
          <w:color w:val="auto"/>
          <w:szCs w:val="28"/>
          <w:highlight w:val="none"/>
        </w:rPr>
        <w:t>项目名称</w:t>
      </w:r>
      <w:bookmarkEnd w:id="1"/>
    </w:p>
    <w:p>
      <w:pPr>
        <w:autoSpaceDE w:val="0"/>
        <w:autoSpaceDN w:val="0"/>
        <w:adjustRightInd w:val="0"/>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rPr>
        <w:t xml:space="preserve">    阳山县人民政府授权阳山县住房与城乡建设局开展阳山县管道燃气特许经营权授予工作，项目名称定为：阳山县管道燃气特许经营项目。</w:t>
      </w:r>
    </w:p>
    <w:p>
      <w:pPr>
        <w:pStyle w:val="3"/>
        <w:rPr>
          <w:color w:val="auto"/>
          <w:highlight w:val="none"/>
        </w:rPr>
      </w:pPr>
      <w:bookmarkStart w:id="2" w:name="_Toc29881"/>
      <w:r>
        <w:rPr>
          <w:rFonts w:hint="eastAsia"/>
          <w:color w:val="auto"/>
          <w:highlight w:val="none"/>
        </w:rPr>
        <w:t>1.2</w:t>
      </w:r>
      <w:r>
        <w:rPr>
          <w:color w:val="auto"/>
          <w:highlight w:val="none"/>
        </w:rPr>
        <w:t>项目地点</w:t>
      </w:r>
      <w:bookmarkEnd w:id="2"/>
    </w:p>
    <w:p>
      <w:pPr>
        <w:spacing w:line="324" w:lineRule="auto"/>
        <w:ind w:firstLine="420"/>
        <w:rPr>
          <w:rFonts w:cs="Times New Roman"/>
          <w:color w:val="auto"/>
          <w:szCs w:val="28"/>
          <w:highlight w:val="none"/>
          <w:shd w:val="clear" w:color="auto" w:fill="FFFFFF"/>
        </w:rPr>
      </w:pPr>
      <w:r>
        <w:rPr>
          <w:rFonts w:hint="eastAsia" w:cs="Times New Roman"/>
          <w:color w:val="auto"/>
          <w:szCs w:val="28"/>
          <w:highlight w:val="none"/>
          <w:shd w:val="clear" w:color="auto" w:fill="FFFFFF"/>
        </w:rPr>
        <w:t>项目地点位于广东省清远市阳山县。</w:t>
      </w:r>
    </w:p>
    <w:p>
      <w:pPr>
        <w:rPr>
          <w:rFonts w:cs="Times New Roman"/>
          <w:color w:val="auto"/>
          <w:szCs w:val="28"/>
          <w:highlight w:val="none"/>
          <w:shd w:val="clear" w:color="auto" w:fill="FFFFFF"/>
        </w:rPr>
      </w:pPr>
      <w:r>
        <w:rPr>
          <w:rFonts w:hint="eastAsia" w:cs="Times New Roman"/>
          <w:color w:val="auto"/>
          <w:szCs w:val="28"/>
          <w:highlight w:val="none"/>
          <w:shd w:val="clear" w:color="auto" w:fill="FFFFFF"/>
        </w:rPr>
        <w:t>1.2.1地理位置</w:t>
      </w:r>
    </w:p>
    <w:p>
      <w:pPr>
        <w:spacing w:line="324" w:lineRule="auto"/>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阳山县位于广东省西北部，南岭山脉南麓，连江中游，东接乳源县、英德市，南连清新县、广宁县，西接怀集县、连南县，北与连州市及湖南省的宜章县接壤。</w:t>
      </w:r>
    </w:p>
    <w:p>
      <w:pPr>
        <w:spacing w:line="324" w:lineRule="auto"/>
        <w:ind w:firstLine="420"/>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县城（阳城镇区所在地），位于县境中部、北江支流连江之滨，东与青莲镇相连，南与杜步镇、七拱镇毗邻，西靠大崀镇、黎埠镇、小江镇，北与小江镇、岭背镇接壤。县城水陆交通便利。水路上达连州、下至英德、清远、三水、南海、广州；陆路国道107和省道1911线环县城而过，沿国道107线南通清远、广州、深圳，北上连州、湖南、湖北；沿国道323线东北达韶关；沿省道1911线东通英德。</w:t>
      </w:r>
    </w:p>
    <w:p>
      <w:pPr>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drawing>
          <wp:inline distT="0" distB="0" distL="0" distR="0">
            <wp:extent cx="4990465" cy="6102350"/>
            <wp:effectExtent l="0" t="0" r="63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a:srcRect/>
                    <a:stretch>
                      <a:fillRect/>
                    </a:stretch>
                  </pic:blipFill>
                  <pic:spPr>
                    <a:xfrm>
                      <a:off x="0" y="0"/>
                      <a:ext cx="4990465" cy="6102350"/>
                    </a:xfrm>
                    <a:prstGeom prst="rect">
                      <a:avLst/>
                    </a:prstGeom>
                    <a:noFill/>
                    <a:ln w="9525">
                      <a:noFill/>
                      <a:miter lim="800000"/>
                      <a:headEnd/>
                      <a:tailEnd/>
                    </a:ln>
                  </pic:spPr>
                </pic:pic>
              </a:graphicData>
            </a:graphic>
          </wp:inline>
        </w:drawing>
      </w:r>
    </w:p>
    <w:p>
      <w:pPr>
        <w:jc w:val="center"/>
        <w:rPr>
          <w:rFonts w:cs="Times New Roman"/>
          <w:color w:val="auto"/>
          <w:sz w:val="24"/>
          <w:highlight w:val="none"/>
          <w:shd w:val="clear" w:color="auto" w:fill="FFFFFF"/>
        </w:rPr>
      </w:pPr>
      <w:r>
        <w:rPr>
          <w:rFonts w:hint="eastAsia" w:cs="Times New Roman"/>
          <w:color w:val="auto"/>
          <w:sz w:val="24"/>
          <w:highlight w:val="none"/>
          <w:shd w:val="clear" w:color="auto" w:fill="FFFFFF"/>
        </w:rPr>
        <w:t>图1.1阳山县县域图</w:t>
      </w:r>
    </w:p>
    <w:p>
      <w:pPr>
        <w:jc w:val="left"/>
        <w:rPr>
          <w:rFonts w:cs="Times New Roman"/>
          <w:color w:val="auto"/>
          <w:sz w:val="24"/>
          <w:highlight w:val="none"/>
          <w:shd w:val="clear" w:color="auto" w:fill="FFFFFF"/>
        </w:rPr>
      </w:pPr>
      <w:r>
        <w:rPr>
          <w:rFonts w:hint="eastAsia" w:cs="Times New Roman"/>
          <w:color w:val="auto"/>
          <w:szCs w:val="28"/>
          <w:highlight w:val="none"/>
          <w:shd w:val="clear" w:color="auto" w:fill="FFFFFF"/>
        </w:rPr>
        <w:t>1.2.2</w:t>
      </w:r>
      <w:bookmarkStart w:id="3" w:name="_Toc67160181"/>
      <w:bookmarkStart w:id="4" w:name="_Toc70828182"/>
      <w:bookmarkStart w:id="5" w:name="_Toc67305266"/>
      <w:bookmarkStart w:id="6" w:name="_Toc67305057"/>
      <w:r>
        <w:rPr>
          <w:rFonts w:hint="eastAsia" w:cs="Times New Roman"/>
          <w:color w:val="auto"/>
          <w:szCs w:val="28"/>
          <w:highlight w:val="none"/>
          <w:shd w:val="clear" w:color="auto" w:fill="FFFFFF"/>
        </w:rPr>
        <w:t>地形、地貌</w:t>
      </w:r>
      <w:bookmarkEnd w:id="3"/>
      <w:bookmarkEnd w:id="4"/>
      <w:bookmarkEnd w:id="5"/>
      <w:bookmarkEnd w:id="6"/>
    </w:p>
    <w:p>
      <w:pPr>
        <w:spacing w:line="324" w:lineRule="auto"/>
        <w:ind w:firstLine="420"/>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阳山县地形复杂，总体为南北高峻，并以单斜山地不规则地由两端向腹地倾斜，形成中间低缓，四周较高的船形地貌。山地约占全县总面积的90%，盆地和冲积平原约占全县总面积的10%。县城所在地四面环山，四周高中间低，属于连江中游的冲积平原地带。</w:t>
      </w:r>
    </w:p>
    <w:p>
      <w:pPr>
        <w:rPr>
          <w:color w:val="auto"/>
          <w:highlight w:val="none"/>
          <w:shd w:val="clear" w:color="auto" w:fill="FFFFFF"/>
        </w:rPr>
      </w:pPr>
      <w:bookmarkStart w:id="7" w:name="_Toc70828183"/>
      <w:bookmarkStart w:id="8" w:name="_Toc67160182"/>
      <w:bookmarkStart w:id="9" w:name="_Toc67305058"/>
      <w:bookmarkStart w:id="10" w:name="_Toc67305267"/>
      <w:r>
        <w:rPr>
          <w:rFonts w:hint="eastAsia"/>
          <w:color w:val="auto"/>
          <w:highlight w:val="none"/>
          <w:shd w:val="clear" w:color="auto" w:fill="FFFFFF"/>
        </w:rPr>
        <w:t>1.2.3气候、水文</w:t>
      </w:r>
      <w:bookmarkEnd w:id="7"/>
      <w:bookmarkEnd w:id="8"/>
      <w:bookmarkEnd w:id="9"/>
      <w:bookmarkEnd w:id="10"/>
    </w:p>
    <w:p>
      <w:pPr>
        <w:spacing w:line="324" w:lineRule="auto"/>
        <w:ind w:firstLine="420"/>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阳山县位于北回归线北侧，属南亚热带向中亚热带过渡的季风气候区。天气炎热，夏长冬短，雨热同季；春季温和潮湿，夏季炎热雨丰，秋季凉爽干燥，冬季寒冷少雨。</w:t>
      </w:r>
    </w:p>
    <w:p>
      <w:pPr>
        <w:spacing w:line="324" w:lineRule="auto"/>
        <w:ind w:firstLine="420"/>
        <w:rPr>
          <w:rFonts w:cs="Times New Roman"/>
          <w:color w:val="auto"/>
          <w:szCs w:val="28"/>
          <w:highlight w:val="none"/>
          <w:shd w:val="clear" w:color="auto" w:fill="FFFFFF"/>
        </w:rPr>
      </w:pPr>
      <w:r>
        <w:rPr>
          <w:rFonts w:hint="eastAsia" w:cs="Times New Roman"/>
          <w:color w:val="auto"/>
          <w:szCs w:val="28"/>
          <w:highlight w:val="none"/>
          <w:shd w:val="clear" w:color="auto" w:fill="FFFFFF"/>
        </w:rPr>
        <w:t>全县多年平均降雨量为1816毫米，相当于58.79亿立方米的水量，多年平均径流深1209.4毫米，等值线变化在920-1600毫米。全县多年平均径流总量为39.9亿立方米，年径流系数为0.68。连江（又称小北江，北江最大的支流）自西北向东南横贯阳山县境腹部，流经境内长81公里，是境内主干河流。</w:t>
      </w:r>
    </w:p>
    <w:p>
      <w:pPr>
        <w:spacing w:line="324"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1.2.4社会经济  </w:t>
      </w:r>
    </w:p>
    <w:p>
      <w:pPr>
        <w:autoSpaceDE w:val="0"/>
        <w:autoSpaceDN w:val="0"/>
        <w:adjustRightInd w:val="0"/>
        <w:jc w:val="left"/>
        <w:rPr>
          <w:rFonts w:cs="Times New Roman"/>
          <w:color w:val="auto"/>
          <w:kern w:val="0"/>
          <w:szCs w:val="28"/>
          <w:highlight w:val="none"/>
          <w:shd w:val="clear" w:color="auto" w:fill="FFFFFF"/>
        </w:rPr>
      </w:pPr>
      <w:r>
        <w:rPr>
          <w:rFonts w:hint="eastAsia" w:cs="Times New Roman"/>
          <w:color w:val="auto"/>
          <w:szCs w:val="28"/>
          <w:highlight w:val="none"/>
          <w:shd w:val="clear" w:color="auto" w:fill="FFFFFF"/>
        </w:rPr>
        <w:t xml:space="preserve">    根据《阳山统计年鉴2014年》，2014年</w:t>
      </w:r>
      <w:r>
        <w:rPr>
          <w:rFonts w:hint="eastAsia" w:cs="Times New Roman"/>
          <w:color w:val="auto"/>
          <w:kern w:val="0"/>
          <w:szCs w:val="28"/>
          <w:highlight w:val="none"/>
          <w:shd w:val="clear" w:color="auto" w:fill="FFFFFF"/>
        </w:rPr>
        <w:t>全县实现生产总值81.73亿元，比上年增长7</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；分产业看，第一产业增加值25.32亿元，增长5.4</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；第二产业增加值18.47亿元，增长7.4</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；第三产业增加值37.93亿元，增长7.8</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。实现地方公共财政预算收入</w:t>
      </w:r>
      <w:r>
        <w:rPr>
          <w:rFonts w:cs="Times New Roman"/>
          <w:color w:val="auto"/>
          <w:kern w:val="0"/>
          <w:szCs w:val="28"/>
          <w:highlight w:val="none"/>
          <w:shd w:val="clear" w:color="auto" w:fill="FFFFFF"/>
        </w:rPr>
        <w:t>4.</w:t>
      </w:r>
      <w:r>
        <w:rPr>
          <w:rFonts w:hint="eastAsia" w:cs="Times New Roman"/>
          <w:color w:val="auto"/>
          <w:kern w:val="0"/>
          <w:szCs w:val="28"/>
          <w:highlight w:val="none"/>
          <w:shd w:val="clear" w:color="auto" w:fill="FFFFFF"/>
        </w:rPr>
        <w:t>79亿元，同比增长7</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；工业增加值11.58亿元，同比增长8.8</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；固定资产投资15.31亿元，同比增长29.3</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；社会消费品零售总额31.9亿元，同比增长9.3</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；城镇居民人均可支配收入19197元，同比增长6.8</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；农村居民人均支配收入9817元，同比增长8.4</w:t>
      </w:r>
      <w:r>
        <w:rPr>
          <w:rFonts w:cs="Times New Roman"/>
          <w:color w:val="auto"/>
          <w:kern w:val="0"/>
          <w:szCs w:val="28"/>
          <w:highlight w:val="none"/>
          <w:shd w:val="clear" w:color="auto" w:fill="FFFFFF"/>
        </w:rPr>
        <w:t>%</w:t>
      </w:r>
      <w:r>
        <w:rPr>
          <w:rFonts w:hint="eastAsia" w:cs="Times New Roman"/>
          <w:color w:val="auto"/>
          <w:kern w:val="0"/>
          <w:szCs w:val="28"/>
          <w:highlight w:val="none"/>
          <w:shd w:val="clear" w:color="auto" w:fill="FFFFFF"/>
        </w:rPr>
        <w:t>；</w:t>
      </w:r>
    </w:p>
    <w:p>
      <w:pPr>
        <w:spacing w:line="324" w:lineRule="auto"/>
        <w:rPr>
          <w:rFonts w:cs="Times New Roman"/>
          <w:color w:val="auto"/>
          <w:szCs w:val="28"/>
          <w:highlight w:val="none"/>
          <w:shd w:val="clear" w:color="auto" w:fill="FFFFFF"/>
        </w:rPr>
      </w:pPr>
      <w:r>
        <w:rPr>
          <w:rFonts w:hint="eastAsia" w:cs="Times New Roman"/>
          <w:color w:val="auto"/>
          <w:szCs w:val="28"/>
          <w:highlight w:val="none"/>
          <w:shd w:val="clear" w:color="auto" w:fill="FFFFFF"/>
        </w:rPr>
        <w:t>1.2.5人口</w:t>
      </w:r>
    </w:p>
    <w:p>
      <w:pPr>
        <w:autoSpaceDE w:val="0"/>
        <w:autoSpaceDN w:val="0"/>
        <w:adjustRightInd w:val="0"/>
        <w:jc w:val="left"/>
        <w:rPr>
          <w:rFonts w:cs="Times New Roman"/>
          <w:color w:val="auto"/>
          <w:szCs w:val="28"/>
          <w:highlight w:val="none"/>
          <w:shd w:val="clear" w:color="auto" w:fill="FFFFFF"/>
        </w:rPr>
      </w:pPr>
      <w:r>
        <w:rPr>
          <w:rFonts w:hint="eastAsia" w:cs="Times New Roman"/>
          <w:color w:val="auto"/>
          <w:kern w:val="0"/>
          <w:szCs w:val="28"/>
          <w:highlight w:val="none"/>
          <w:shd w:val="clear" w:color="auto" w:fill="FFFFFF"/>
        </w:rPr>
        <w:t xml:space="preserve">    根据</w:t>
      </w:r>
      <w:r>
        <w:rPr>
          <w:rFonts w:hint="eastAsia" w:cs="Times New Roman"/>
          <w:color w:val="auto"/>
          <w:szCs w:val="28"/>
          <w:highlight w:val="none"/>
          <w:shd w:val="clear" w:color="auto" w:fill="FFFFFF"/>
        </w:rPr>
        <w:t>《阳山统计年鉴2014年》</w:t>
      </w:r>
      <w:r>
        <w:rPr>
          <w:rFonts w:hint="eastAsia" w:cs="Times New Roman"/>
          <w:color w:val="auto"/>
          <w:kern w:val="0"/>
          <w:szCs w:val="28"/>
          <w:highlight w:val="none"/>
          <w:shd w:val="clear" w:color="auto" w:fill="FFFFFF"/>
        </w:rPr>
        <w:t>，阳山县</w:t>
      </w:r>
      <w:r>
        <w:rPr>
          <w:rFonts w:cs="Times New Roman"/>
          <w:color w:val="auto"/>
          <w:kern w:val="0"/>
          <w:szCs w:val="28"/>
          <w:highlight w:val="none"/>
          <w:shd w:val="clear" w:color="auto" w:fill="FFFFFF"/>
        </w:rPr>
        <w:t>201</w:t>
      </w:r>
      <w:r>
        <w:rPr>
          <w:rFonts w:hint="eastAsia" w:cs="Times New Roman"/>
          <w:color w:val="auto"/>
          <w:kern w:val="0"/>
          <w:szCs w:val="28"/>
          <w:highlight w:val="none"/>
          <w:shd w:val="clear" w:color="auto" w:fill="FFFFFF"/>
        </w:rPr>
        <w:t>4年末户籍总人口为</w:t>
      </w:r>
      <w:r>
        <w:rPr>
          <w:rFonts w:cs="Times New Roman"/>
          <w:color w:val="auto"/>
          <w:kern w:val="0"/>
          <w:szCs w:val="28"/>
          <w:highlight w:val="none"/>
          <w:shd w:val="clear" w:color="auto" w:fill="FFFFFF"/>
        </w:rPr>
        <w:t>54.</w:t>
      </w:r>
      <w:r>
        <w:rPr>
          <w:rFonts w:hint="eastAsia" w:cs="Times New Roman"/>
          <w:color w:val="auto"/>
          <w:kern w:val="0"/>
          <w:szCs w:val="28"/>
          <w:highlight w:val="none"/>
          <w:shd w:val="clear" w:color="auto" w:fill="FFFFFF"/>
        </w:rPr>
        <w:t>07万人。全县常住人口36</w:t>
      </w:r>
      <w:r>
        <w:rPr>
          <w:rFonts w:hint="eastAsia" w:cs="Times New Roman"/>
          <w:color w:val="auto"/>
          <w:kern w:val="0"/>
          <w:szCs w:val="28"/>
          <w:highlight w:val="none"/>
          <w:shd w:val="clear" w:color="auto" w:fill="FFFFFF"/>
          <w:lang w:val="en-US" w:eastAsia="zh-CN"/>
        </w:rPr>
        <w:t>.</w:t>
      </w:r>
      <w:r>
        <w:rPr>
          <w:rFonts w:hint="eastAsia" w:cs="Times New Roman"/>
          <w:color w:val="auto"/>
          <w:kern w:val="0"/>
          <w:szCs w:val="28"/>
          <w:highlight w:val="none"/>
          <w:shd w:val="clear" w:color="auto" w:fill="FFFFFF"/>
        </w:rPr>
        <w:t>73</w:t>
      </w:r>
      <w:r>
        <w:rPr>
          <w:rFonts w:hint="eastAsia" w:cs="Times New Roman"/>
          <w:color w:val="auto"/>
          <w:kern w:val="0"/>
          <w:szCs w:val="28"/>
          <w:highlight w:val="none"/>
          <w:shd w:val="clear" w:color="auto" w:fill="FFFFFF"/>
          <w:lang w:val="en-US" w:eastAsia="zh-CN"/>
        </w:rPr>
        <w:t>万</w:t>
      </w:r>
      <w:r>
        <w:rPr>
          <w:rFonts w:hint="eastAsia" w:cs="Times New Roman"/>
          <w:color w:val="auto"/>
          <w:kern w:val="0"/>
          <w:szCs w:val="28"/>
          <w:highlight w:val="none"/>
          <w:shd w:val="clear" w:color="auto" w:fill="FFFFFF"/>
        </w:rPr>
        <w:t>人，城镇人口13</w:t>
      </w:r>
      <w:r>
        <w:rPr>
          <w:rFonts w:hint="eastAsia" w:cs="Times New Roman"/>
          <w:color w:val="auto"/>
          <w:kern w:val="0"/>
          <w:szCs w:val="28"/>
          <w:highlight w:val="none"/>
          <w:shd w:val="clear" w:color="auto" w:fill="FFFFFF"/>
          <w:lang w:val="en-US" w:eastAsia="zh-CN"/>
        </w:rPr>
        <w:t>.</w:t>
      </w:r>
      <w:r>
        <w:rPr>
          <w:rFonts w:hint="eastAsia" w:cs="Times New Roman"/>
          <w:color w:val="auto"/>
          <w:kern w:val="0"/>
          <w:szCs w:val="28"/>
          <w:highlight w:val="none"/>
          <w:shd w:val="clear" w:color="auto" w:fill="FFFFFF"/>
        </w:rPr>
        <w:t>02</w:t>
      </w:r>
      <w:r>
        <w:rPr>
          <w:rFonts w:hint="eastAsia" w:cs="Times New Roman"/>
          <w:color w:val="auto"/>
          <w:kern w:val="0"/>
          <w:szCs w:val="28"/>
          <w:highlight w:val="none"/>
          <w:shd w:val="clear" w:color="auto" w:fill="FFFFFF"/>
          <w:lang w:eastAsia="zh-CN"/>
        </w:rPr>
        <w:t>万</w:t>
      </w:r>
      <w:r>
        <w:rPr>
          <w:rFonts w:hint="eastAsia" w:cs="Times New Roman"/>
          <w:color w:val="auto"/>
          <w:kern w:val="0"/>
          <w:szCs w:val="28"/>
          <w:highlight w:val="none"/>
          <w:shd w:val="clear" w:color="auto" w:fill="FFFFFF"/>
        </w:rPr>
        <w:t>人，农村人口23.71万人，城市化率35.34%。</w:t>
      </w:r>
    </w:p>
    <w:p>
      <w:pPr>
        <w:pStyle w:val="3"/>
        <w:rPr>
          <w:color w:val="auto"/>
          <w:highlight w:val="none"/>
        </w:rPr>
      </w:pPr>
      <w:bookmarkStart w:id="11" w:name="_Toc25536"/>
      <w:r>
        <w:rPr>
          <w:rFonts w:hint="eastAsia"/>
          <w:color w:val="auto"/>
          <w:highlight w:val="none"/>
        </w:rPr>
        <w:t>1.3</w:t>
      </w:r>
      <w:r>
        <w:rPr>
          <w:color w:val="auto"/>
          <w:highlight w:val="none"/>
        </w:rPr>
        <w:t>项目内容及规模</w:t>
      </w:r>
      <w:bookmarkEnd w:id="11"/>
    </w:p>
    <w:p>
      <w:pPr>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1.3.1</w:t>
      </w:r>
      <w:r>
        <w:rPr>
          <w:rFonts w:cs="Times New Roman"/>
          <w:color w:val="auto"/>
          <w:szCs w:val="28"/>
          <w:highlight w:val="none"/>
          <w:shd w:val="clear" w:color="auto" w:fill="FFFFFF"/>
        </w:rPr>
        <w:t>项目内容</w:t>
      </w:r>
    </w:p>
    <w:p>
      <w:pPr>
        <w:spacing w:line="360" w:lineRule="auto"/>
        <w:ind w:firstLine="560" w:firstLineChars="200"/>
        <w:rPr>
          <w:rFonts w:hint="eastAsia" w:cs="Times New Roman"/>
          <w:color w:val="auto"/>
          <w:kern w:val="0"/>
          <w:szCs w:val="28"/>
          <w:highlight w:val="none"/>
          <w:shd w:val="clear" w:color="auto" w:fill="FFFFFF"/>
        </w:rPr>
      </w:pPr>
      <w:r>
        <w:rPr>
          <w:rFonts w:hint="eastAsia" w:cs="Times New Roman"/>
          <w:color w:val="auto"/>
          <w:kern w:val="0"/>
          <w:szCs w:val="28"/>
          <w:highlight w:val="none"/>
          <w:shd w:val="clear" w:color="auto" w:fill="FFFFFF"/>
          <w:lang w:val="en-US" w:eastAsia="zh-CN"/>
        </w:rPr>
        <w:t>经营区域：</w:t>
      </w:r>
      <w:r>
        <w:rPr>
          <w:rFonts w:hint="eastAsia" w:cs="Times New Roman"/>
          <w:color w:val="auto"/>
          <w:kern w:val="0"/>
          <w:szCs w:val="28"/>
          <w:highlight w:val="none"/>
          <w:shd w:val="clear" w:color="auto" w:fill="FFFFFF"/>
        </w:rPr>
        <w:t>本项目的</w:t>
      </w:r>
      <w:r>
        <w:rPr>
          <w:rFonts w:hint="eastAsia" w:cs="Times New Roman"/>
          <w:color w:val="auto"/>
          <w:kern w:val="0"/>
          <w:szCs w:val="28"/>
          <w:highlight w:val="none"/>
          <w:shd w:val="clear" w:color="auto" w:fill="FFFFFF"/>
          <w:lang w:val="en-US" w:eastAsia="zh-CN"/>
        </w:rPr>
        <w:t>特许经营</w:t>
      </w:r>
      <w:r>
        <w:rPr>
          <w:rFonts w:hint="eastAsia" w:cs="Times New Roman"/>
          <w:color w:val="auto"/>
          <w:kern w:val="0"/>
          <w:szCs w:val="28"/>
          <w:highlight w:val="none"/>
          <w:shd w:val="clear" w:color="auto" w:fill="FFFFFF"/>
        </w:rPr>
        <w:t>区域包括阳山县</w:t>
      </w:r>
      <w:r>
        <w:rPr>
          <w:rFonts w:hint="eastAsia" w:cs="Times New Roman"/>
          <w:color w:val="auto"/>
          <w:kern w:val="0"/>
          <w:szCs w:val="28"/>
          <w:highlight w:val="none"/>
          <w:shd w:val="clear" w:color="auto" w:fill="FFFFFF"/>
          <w:lang w:val="en-US" w:eastAsia="zh-CN"/>
        </w:rPr>
        <w:t>所有</w:t>
      </w:r>
      <w:r>
        <w:rPr>
          <w:rFonts w:hint="eastAsia" w:cs="Times New Roman"/>
          <w:color w:val="auto"/>
          <w:kern w:val="0"/>
          <w:szCs w:val="28"/>
          <w:highlight w:val="none"/>
          <w:shd w:val="clear" w:color="auto" w:fill="FFFFFF"/>
        </w:rPr>
        <w:t>行政区域</w:t>
      </w:r>
      <w:r>
        <w:rPr>
          <w:rFonts w:hint="eastAsia" w:cs="Times New Roman"/>
          <w:color w:val="auto"/>
          <w:kern w:val="0"/>
          <w:szCs w:val="28"/>
          <w:highlight w:val="none"/>
          <w:shd w:val="clear" w:color="auto" w:fill="FFFFFF"/>
          <w:lang w:eastAsia="zh-CN"/>
        </w:rPr>
        <w:t>（</w:t>
      </w:r>
      <w:r>
        <w:rPr>
          <w:rFonts w:hint="eastAsia" w:cs="Times New Roman"/>
          <w:color w:val="auto"/>
          <w:kern w:val="0"/>
          <w:szCs w:val="28"/>
          <w:highlight w:val="none"/>
          <w:shd w:val="clear" w:color="auto" w:fill="FFFFFF"/>
        </w:rPr>
        <w:t>包括该行政区域内其他各行政区、开发区、产业园及城镇、乡等</w:t>
      </w:r>
      <w:r>
        <w:rPr>
          <w:rFonts w:hint="eastAsia" w:cs="Times New Roman"/>
          <w:color w:val="auto"/>
          <w:kern w:val="0"/>
          <w:szCs w:val="28"/>
          <w:highlight w:val="none"/>
          <w:shd w:val="clear" w:color="auto" w:fill="FFFFFF"/>
          <w:lang w:eastAsia="zh-CN"/>
        </w:rPr>
        <w:t>）</w:t>
      </w:r>
      <w:r>
        <w:rPr>
          <w:rFonts w:hint="eastAsia" w:cs="Times New Roman"/>
          <w:color w:val="auto"/>
          <w:kern w:val="0"/>
          <w:szCs w:val="28"/>
          <w:highlight w:val="none"/>
          <w:shd w:val="clear" w:color="auto" w:fill="FFFFFF"/>
        </w:rPr>
        <w:t>。</w:t>
      </w:r>
    </w:p>
    <w:p>
      <w:pPr>
        <w:spacing w:line="360" w:lineRule="auto"/>
        <w:ind w:firstLine="560" w:firstLineChars="200"/>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lang w:val="en-US" w:eastAsia="zh-CN"/>
        </w:rPr>
        <w:t>经营范围：</w:t>
      </w:r>
      <w:r>
        <w:rPr>
          <w:rFonts w:hint="eastAsia" w:cs="Times New Roman"/>
          <w:color w:val="auto"/>
          <w:kern w:val="0"/>
          <w:szCs w:val="28"/>
          <w:highlight w:val="none"/>
          <w:shd w:val="clear" w:color="auto" w:fill="FFFFFF"/>
        </w:rPr>
        <w:t>独家在特许经营区域范围内投资、建设、运营、维护市政管道燃气设施、以管道输送形式向用户供应燃气，提供相关管道燃气设施的抢修抢险业务等并收取费用；独家投资、建设及运营汽车加气站。具体内容如下：</w:t>
      </w:r>
    </w:p>
    <w:p>
      <w:pPr>
        <w:autoSpaceDE w:val="0"/>
        <w:autoSpaceDN w:val="0"/>
        <w:adjustRightInd w:val="0"/>
        <w:spacing w:beforeLines="0" w:afterLines="0"/>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（1）</w:t>
      </w:r>
      <w:r>
        <w:rPr>
          <w:rFonts w:hint="eastAsia" w:cs="Times New Roman"/>
          <w:color w:val="auto"/>
          <w:kern w:val="0"/>
          <w:sz w:val="28"/>
          <w:szCs w:val="28"/>
          <w:highlight w:val="none"/>
          <w:shd w:val="clear" w:color="auto" w:fill="FFFFFF"/>
          <w:lang w:val="en-US" w:eastAsia="zh-CN"/>
        </w:rPr>
        <w:t>阳山县行政</w:t>
      </w:r>
      <w:r>
        <w:rPr>
          <w:rFonts w:hint="eastAsia" w:cs="Times New Roman"/>
          <w:color w:val="auto"/>
          <w:kern w:val="0"/>
          <w:sz w:val="28"/>
          <w:szCs w:val="28"/>
          <w:highlight w:val="none"/>
          <w:shd w:val="clear" w:color="auto" w:fill="FFFFFF"/>
        </w:rPr>
        <w:t>区域内管道燃气设施的建设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autoSpaceDE w:val="0"/>
        <w:autoSpaceDN w:val="0"/>
        <w:adjustRightInd w:val="0"/>
        <w:spacing w:beforeLines="0" w:afterLines="0"/>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（2）汽车加气站的建设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autoSpaceDE w:val="0"/>
        <w:autoSpaceDN w:val="0"/>
        <w:adjustRightInd w:val="0"/>
        <w:spacing w:beforeLines="0" w:afterLines="0"/>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（3）</w:t>
      </w:r>
      <w:r>
        <w:rPr>
          <w:rFonts w:hint="eastAsia" w:cs="Times New Roman"/>
          <w:color w:val="auto"/>
          <w:kern w:val="0"/>
          <w:sz w:val="28"/>
          <w:szCs w:val="28"/>
          <w:highlight w:val="none"/>
          <w:shd w:val="clear" w:color="auto" w:fill="FFFFFF"/>
          <w:lang w:val="en-US" w:eastAsia="zh-CN"/>
        </w:rPr>
        <w:t>建设与经营</w:t>
      </w:r>
      <w:r>
        <w:rPr>
          <w:rFonts w:hint="eastAsia" w:cs="Times New Roman"/>
          <w:color w:val="auto"/>
          <w:kern w:val="0"/>
          <w:sz w:val="28"/>
          <w:szCs w:val="28"/>
          <w:highlight w:val="none"/>
          <w:shd w:val="clear" w:color="auto" w:fill="FFFFFF"/>
        </w:rPr>
        <w:t>接收上游气源的门站、管道</w:t>
      </w:r>
      <w:r>
        <w:rPr>
          <w:rFonts w:hint="eastAsia" w:cs="Times New Roman"/>
          <w:color w:val="auto"/>
          <w:kern w:val="0"/>
          <w:sz w:val="28"/>
          <w:szCs w:val="28"/>
          <w:highlight w:val="none"/>
          <w:shd w:val="clear" w:color="auto" w:fill="FFFFFF"/>
          <w:lang w:val="en-US" w:eastAsia="zh-CN"/>
        </w:rPr>
        <w:t>及</w:t>
      </w:r>
      <w:r>
        <w:rPr>
          <w:rFonts w:hint="eastAsia" w:cs="Times New Roman"/>
          <w:color w:val="auto"/>
          <w:kern w:val="0"/>
          <w:sz w:val="28"/>
          <w:szCs w:val="28"/>
          <w:highlight w:val="none"/>
          <w:shd w:val="clear" w:color="auto" w:fill="FFFFFF"/>
        </w:rPr>
        <w:t>储气</w:t>
      </w:r>
      <w:r>
        <w:rPr>
          <w:rFonts w:hint="eastAsia" w:cs="Times New Roman"/>
          <w:color w:val="auto"/>
          <w:kern w:val="0"/>
          <w:sz w:val="28"/>
          <w:szCs w:val="28"/>
          <w:highlight w:val="none"/>
          <w:shd w:val="clear" w:color="auto" w:fill="FFFFFF"/>
          <w:lang w:val="en-US" w:eastAsia="zh-CN"/>
        </w:rPr>
        <w:t>设施</w:t>
      </w:r>
      <w:r>
        <w:rPr>
          <w:rFonts w:hint="eastAsia" w:cs="Times New Roman"/>
          <w:color w:val="auto"/>
          <w:kern w:val="0"/>
          <w:sz w:val="28"/>
          <w:szCs w:val="28"/>
          <w:highlight w:val="none"/>
          <w:shd w:val="clear" w:color="auto" w:fill="FFFFFF"/>
        </w:rPr>
        <w:t>。</w:t>
      </w:r>
    </w:p>
    <w:p>
      <w:pPr>
        <w:autoSpaceDE w:val="0"/>
        <w:autoSpaceDN w:val="0"/>
        <w:adjustRightInd w:val="0"/>
        <w:spacing w:beforeLines="0" w:afterLines="0"/>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（4）阳山县</w:t>
      </w:r>
      <w:r>
        <w:rPr>
          <w:rFonts w:hint="eastAsia" w:cs="Times New Roman"/>
          <w:color w:val="auto"/>
          <w:kern w:val="0"/>
          <w:sz w:val="28"/>
          <w:szCs w:val="28"/>
          <w:highlight w:val="none"/>
          <w:shd w:val="clear" w:color="auto" w:fill="FFFFFF"/>
          <w:lang w:val="en-US" w:eastAsia="zh-CN"/>
        </w:rPr>
        <w:t>城市</w:t>
      </w:r>
      <w:r>
        <w:rPr>
          <w:rFonts w:hint="eastAsia" w:cs="Times New Roman"/>
          <w:color w:val="auto"/>
          <w:kern w:val="0"/>
          <w:sz w:val="28"/>
          <w:szCs w:val="28"/>
          <w:highlight w:val="none"/>
          <w:shd w:val="clear" w:color="auto" w:fill="FFFFFF"/>
        </w:rPr>
        <w:t>管道燃气高压</w:t>
      </w:r>
      <w:r>
        <w:rPr>
          <w:rFonts w:hint="eastAsia" w:cs="Times New Roman"/>
          <w:color w:val="auto"/>
          <w:kern w:val="0"/>
          <w:sz w:val="28"/>
          <w:szCs w:val="28"/>
          <w:highlight w:val="none"/>
          <w:shd w:val="clear" w:color="auto" w:fill="FFFFFF"/>
          <w:lang w:val="en-US" w:eastAsia="zh-CN"/>
        </w:rPr>
        <w:t>环网</w:t>
      </w:r>
      <w:r>
        <w:rPr>
          <w:rFonts w:hint="eastAsia" w:cs="Times New Roman"/>
          <w:color w:val="auto"/>
          <w:kern w:val="0"/>
          <w:sz w:val="28"/>
          <w:szCs w:val="28"/>
          <w:highlight w:val="none"/>
          <w:shd w:val="clear" w:color="auto" w:fill="FFFFFF"/>
        </w:rPr>
        <w:t>的建设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autoSpaceDE w:val="0"/>
        <w:autoSpaceDN w:val="0"/>
        <w:adjustRightInd w:val="0"/>
        <w:spacing w:beforeLines="0" w:afterLines="0"/>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（5）分输到阳山</w:t>
      </w:r>
      <w:r>
        <w:rPr>
          <w:rFonts w:hint="eastAsia" w:cs="Times New Roman"/>
          <w:color w:val="auto"/>
          <w:kern w:val="0"/>
          <w:sz w:val="28"/>
          <w:szCs w:val="28"/>
          <w:highlight w:val="none"/>
          <w:shd w:val="clear" w:color="auto" w:fill="FFFFFF"/>
          <w:lang w:val="en-US" w:eastAsia="zh-CN"/>
        </w:rPr>
        <w:t>县</w:t>
      </w:r>
      <w:r>
        <w:rPr>
          <w:rFonts w:hint="eastAsia" w:cs="Times New Roman"/>
          <w:color w:val="auto"/>
          <w:kern w:val="0"/>
          <w:sz w:val="28"/>
          <w:szCs w:val="28"/>
          <w:highlight w:val="none"/>
          <w:shd w:val="clear" w:color="auto" w:fill="FFFFFF"/>
        </w:rPr>
        <w:t>的</w:t>
      </w:r>
      <w:r>
        <w:rPr>
          <w:rFonts w:hint="eastAsia" w:cs="Times New Roman"/>
          <w:color w:val="auto"/>
          <w:kern w:val="0"/>
          <w:sz w:val="28"/>
          <w:szCs w:val="28"/>
          <w:highlight w:val="none"/>
          <w:shd w:val="clear" w:color="auto" w:fill="FFFFFF"/>
          <w:lang w:val="en-US" w:eastAsia="zh-CN"/>
        </w:rPr>
        <w:t>管道燃气</w:t>
      </w:r>
      <w:r>
        <w:rPr>
          <w:rFonts w:hint="eastAsia" w:cs="Times New Roman"/>
          <w:color w:val="auto"/>
          <w:kern w:val="0"/>
          <w:sz w:val="28"/>
          <w:szCs w:val="28"/>
          <w:highlight w:val="none"/>
          <w:shd w:val="clear" w:color="auto" w:fill="FFFFFF"/>
        </w:rPr>
        <w:t>高</w:t>
      </w:r>
      <w:r>
        <w:rPr>
          <w:rFonts w:hint="eastAsia" w:cs="Times New Roman"/>
          <w:color w:val="auto"/>
          <w:kern w:val="0"/>
          <w:sz w:val="28"/>
          <w:szCs w:val="28"/>
          <w:highlight w:val="none"/>
          <w:shd w:val="clear" w:color="auto" w:fill="FFFFFF"/>
          <w:lang w:val="en-US" w:eastAsia="zh-CN"/>
        </w:rPr>
        <w:t>中</w:t>
      </w:r>
      <w:r>
        <w:rPr>
          <w:rFonts w:hint="eastAsia" w:cs="Times New Roman"/>
          <w:color w:val="auto"/>
          <w:kern w:val="0"/>
          <w:sz w:val="28"/>
          <w:szCs w:val="28"/>
          <w:highlight w:val="none"/>
          <w:shd w:val="clear" w:color="auto" w:fill="FFFFFF"/>
        </w:rPr>
        <w:t>压管</w:t>
      </w:r>
      <w:r>
        <w:rPr>
          <w:rFonts w:hint="eastAsia" w:cs="Times New Roman"/>
          <w:color w:val="auto"/>
          <w:kern w:val="0"/>
          <w:sz w:val="28"/>
          <w:szCs w:val="28"/>
          <w:highlight w:val="none"/>
          <w:shd w:val="clear" w:color="auto" w:fill="FFFFFF"/>
          <w:lang w:val="en-US" w:eastAsia="zh-CN"/>
        </w:rPr>
        <w:t>线的</w:t>
      </w:r>
      <w:r>
        <w:rPr>
          <w:rFonts w:hint="eastAsia" w:cs="Times New Roman"/>
          <w:color w:val="auto"/>
          <w:kern w:val="0"/>
          <w:sz w:val="28"/>
          <w:szCs w:val="28"/>
          <w:highlight w:val="none"/>
          <w:shd w:val="clear" w:color="auto" w:fill="FFFFFF"/>
        </w:rPr>
        <w:t>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autoSpaceDE w:val="0"/>
        <w:autoSpaceDN w:val="0"/>
        <w:adjustRightInd w:val="0"/>
        <w:spacing w:beforeLines="0" w:afterLines="0"/>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（6）</w:t>
      </w:r>
      <w:r>
        <w:rPr>
          <w:rFonts w:hint="eastAsia" w:cs="Times New Roman"/>
          <w:color w:val="auto"/>
          <w:kern w:val="0"/>
          <w:sz w:val="28"/>
          <w:szCs w:val="28"/>
          <w:highlight w:val="none"/>
          <w:shd w:val="clear" w:color="auto" w:fill="FFFFFF"/>
          <w:lang w:val="en-US" w:eastAsia="zh-CN"/>
        </w:rPr>
        <w:t>与前述项目相关的</w:t>
      </w:r>
      <w:r>
        <w:rPr>
          <w:rFonts w:hint="eastAsia" w:cs="Times New Roman"/>
          <w:color w:val="auto"/>
          <w:kern w:val="0"/>
          <w:sz w:val="28"/>
          <w:szCs w:val="28"/>
          <w:highlight w:val="none"/>
          <w:shd w:val="clear" w:color="auto" w:fill="FFFFFF"/>
        </w:rPr>
        <w:t>配套</w:t>
      </w:r>
      <w:r>
        <w:rPr>
          <w:rFonts w:hint="eastAsia" w:cs="Times New Roman"/>
          <w:color w:val="auto"/>
          <w:kern w:val="0"/>
          <w:sz w:val="28"/>
          <w:szCs w:val="28"/>
          <w:highlight w:val="none"/>
          <w:shd w:val="clear" w:color="auto" w:fill="FFFFFF"/>
          <w:lang w:val="en-US" w:eastAsia="zh-CN"/>
        </w:rPr>
        <w:t>设施的</w:t>
      </w:r>
      <w:r>
        <w:rPr>
          <w:rFonts w:hint="eastAsia" w:cs="Times New Roman"/>
          <w:color w:val="auto"/>
          <w:kern w:val="0"/>
          <w:sz w:val="28"/>
          <w:szCs w:val="28"/>
          <w:highlight w:val="none"/>
          <w:shd w:val="clear" w:color="auto" w:fill="FFFFFF"/>
        </w:rPr>
        <w:t>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autoSpaceDE w:val="0"/>
        <w:autoSpaceDN w:val="0"/>
        <w:adjustRightInd w:val="0"/>
        <w:jc w:val="left"/>
        <w:rPr>
          <w:rFonts w:cs="Times New Roman"/>
          <w:color w:val="auto"/>
          <w:szCs w:val="28"/>
          <w:highlight w:val="none"/>
          <w:shd w:val="clear" w:color="auto" w:fill="FFFFFF"/>
        </w:rPr>
      </w:pPr>
      <w:r>
        <w:rPr>
          <w:rFonts w:hint="eastAsia" w:cs="Times New Roman"/>
          <w:color w:val="auto"/>
          <w:kern w:val="0"/>
          <w:szCs w:val="28"/>
          <w:highlight w:val="none"/>
          <w:shd w:val="clear" w:color="auto" w:fill="FFFFFF"/>
        </w:rPr>
        <w:t xml:space="preserve">    经营期限：特许经营期限</w:t>
      </w:r>
      <w:r>
        <w:rPr>
          <w:rFonts w:hint="eastAsia" w:cs="Times New Roman"/>
          <w:color w:val="auto"/>
          <w:kern w:val="0"/>
          <w:szCs w:val="28"/>
          <w:highlight w:val="none"/>
          <w:shd w:val="clear" w:color="auto" w:fill="FFFFFF"/>
          <w:lang w:val="en-US" w:eastAsia="zh-CN"/>
        </w:rPr>
        <w:t>为</w:t>
      </w:r>
      <w:r>
        <w:rPr>
          <w:rFonts w:hint="eastAsia" w:cs="Times New Roman"/>
          <w:color w:val="auto"/>
          <w:kern w:val="0"/>
          <w:szCs w:val="28"/>
          <w:highlight w:val="none"/>
          <w:shd w:val="clear" w:color="auto" w:fill="FFFFFF"/>
        </w:rPr>
        <w:t>30年，以特许经营权协议签订生效之日起计算。</w:t>
      </w:r>
      <w:r>
        <w:rPr>
          <w:rFonts w:hint="eastAsia" w:cs="Times New Roman"/>
          <w:color w:val="auto"/>
          <w:kern w:val="0"/>
          <w:szCs w:val="28"/>
          <w:highlight w:val="none"/>
          <w:shd w:val="clear" w:color="auto" w:fill="FFFFFF"/>
          <w:lang w:val="zh-CN"/>
        </w:rPr>
        <w:t>特许经营期满后，政府重新选择特许经营者，在同等条件下，本期项目公司有优先权。</w:t>
      </w:r>
    </w:p>
    <w:p>
      <w:pPr>
        <w:autoSpaceDE w:val="0"/>
        <w:autoSpaceDN w:val="0"/>
        <w:adjustRightInd w:val="0"/>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1.3.2</w:t>
      </w:r>
      <w:r>
        <w:rPr>
          <w:rFonts w:cs="Times New Roman"/>
          <w:color w:val="auto"/>
          <w:szCs w:val="28"/>
          <w:highlight w:val="none"/>
          <w:shd w:val="clear" w:color="auto" w:fill="FFFFFF"/>
        </w:rPr>
        <w:t>项目</w:t>
      </w:r>
      <w:r>
        <w:rPr>
          <w:rFonts w:hint="eastAsia" w:cs="Times New Roman"/>
          <w:color w:val="auto"/>
          <w:szCs w:val="28"/>
          <w:highlight w:val="none"/>
          <w:shd w:val="clear" w:color="auto" w:fill="FFFFFF"/>
        </w:rPr>
        <w:t>规模</w:t>
      </w:r>
    </w:p>
    <w:p>
      <w:pPr>
        <w:autoSpaceDE w:val="0"/>
        <w:autoSpaceDN w:val="0"/>
        <w:adjustRightInd w:val="0"/>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rPr>
        <w:t xml:space="preserve"> （1）供气规模</w:t>
      </w:r>
    </w:p>
    <w:p>
      <w:pPr>
        <w:autoSpaceDE w:val="0"/>
        <w:autoSpaceDN w:val="0"/>
        <w:adjustRightInd w:val="0"/>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rPr>
        <w:t xml:space="preserve">    </w:t>
      </w:r>
      <w:r>
        <w:rPr>
          <w:rFonts w:hint="eastAsia" w:cs="Times New Roman"/>
          <w:color w:val="auto"/>
          <w:szCs w:val="28"/>
          <w:highlight w:val="none"/>
          <w:shd w:val="clear" w:color="auto" w:fill="FFFFFF"/>
        </w:rPr>
        <w:t>到</w:t>
      </w:r>
      <w:r>
        <w:rPr>
          <w:rFonts w:cs="Times New Roman"/>
          <w:color w:val="auto"/>
          <w:kern w:val="0"/>
          <w:szCs w:val="28"/>
          <w:highlight w:val="none"/>
          <w:shd w:val="clear" w:color="auto" w:fill="FFFFFF"/>
        </w:rPr>
        <w:t>2025</w:t>
      </w:r>
      <w:r>
        <w:rPr>
          <w:rFonts w:hint="eastAsia" w:cs="Times New Roman"/>
          <w:color w:val="auto"/>
          <w:kern w:val="0"/>
          <w:szCs w:val="28"/>
          <w:highlight w:val="none"/>
          <w:shd w:val="clear" w:color="auto" w:fill="FFFFFF"/>
        </w:rPr>
        <w:t>年</w:t>
      </w:r>
      <w:r>
        <w:rPr>
          <w:rFonts w:hint="eastAsia" w:cs="Times New Roman"/>
          <w:color w:val="auto"/>
          <w:szCs w:val="28"/>
          <w:highlight w:val="none"/>
          <w:shd w:val="clear" w:color="auto" w:fill="FFFFFF"/>
        </w:rPr>
        <w:t>，年</w:t>
      </w:r>
      <w:r>
        <w:rPr>
          <w:rFonts w:hint="eastAsia" w:cs="Times New Roman"/>
          <w:color w:val="auto"/>
          <w:kern w:val="0"/>
          <w:szCs w:val="28"/>
          <w:highlight w:val="none"/>
          <w:shd w:val="clear" w:color="auto" w:fill="FFFFFF"/>
        </w:rPr>
        <w:t>天然气用量为</w:t>
      </w:r>
      <w:r>
        <w:rPr>
          <w:rFonts w:cs="Times New Roman"/>
          <w:color w:val="auto"/>
          <w:kern w:val="0"/>
          <w:szCs w:val="28"/>
          <w:highlight w:val="none"/>
          <w:shd w:val="clear" w:color="auto" w:fill="FFFFFF"/>
        </w:rPr>
        <w:t>3293.75</w:t>
      </w:r>
      <w:r>
        <w:rPr>
          <w:rFonts w:hint="eastAsia" w:cs="Times New Roman"/>
          <w:color w:val="auto"/>
          <w:kern w:val="0"/>
          <w:szCs w:val="28"/>
          <w:highlight w:val="none"/>
          <w:shd w:val="clear" w:color="auto" w:fill="FFFFFF"/>
        </w:rPr>
        <w:t>万</w:t>
      </w:r>
      <w:r>
        <w:rPr>
          <w:rFonts w:cs="Times New Roman"/>
          <w:color w:val="auto"/>
          <w:kern w:val="0"/>
          <w:szCs w:val="28"/>
          <w:highlight w:val="none"/>
          <w:shd w:val="clear" w:color="auto" w:fill="FFFFFF"/>
        </w:rPr>
        <w:t>Nm</w:t>
      </w:r>
      <w:r>
        <w:rPr>
          <w:rFonts w:cs="Times New Roman"/>
          <w:color w:val="auto"/>
          <w:kern w:val="0"/>
          <w:szCs w:val="28"/>
          <w:highlight w:val="none"/>
          <w:shd w:val="clear" w:color="auto" w:fill="FFFFFF"/>
          <w:vertAlign w:val="superscript"/>
        </w:rPr>
        <w:t>3</w:t>
      </w:r>
      <w:r>
        <w:rPr>
          <w:rFonts w:hint="eastAsia" w:cs="Times New Roman"/>
          <w:color w:val="auto"/>
          <w:kern w:val="0"/>
          <w:szCs w:val="28"/>
          <w:highlight w:val="none"/>
          <w:shd w:val="clear" w:color="auto" w:fill="FFFFFF"/>
        </w:rPr>
        <w:t>；到</w:t>
      </w:r>
      <w:r>
        <w:rPr>
          <w:rFonts w:cs="Times New Roman"/>
          <w:color w:val="auto"/>
          <w:kern w:val="0"/>
          <w:szCs w:val="28"/>
          <w:highlight w:val="none"/>
          <w:shd w:val="clear" w:color="auto" w:fill="FFFFFF"/>
        </w:rPr>
        <w:t>2034</w:t>
      </w:r>
      <w:r>
        <w:rPr>
          <w:rFonts w:hint="eastAsia" w:cs="Times New Roman"/>
          <w:color w:val="auto"/>
          <w:kern w:val="0"/>
          <w:szCs w:val="28"/>
          <w:highlight w:val="none"/>
          <w:shd w:val="clear" w:color="auto" w:fill="FFFFFF"/>
        </w:rPr>
        <w:t>年，</w:t>
      </w:r>
      <w:r>
        <w:rPr>
          <w:rFonts w:hint="eastAsia" w:cs="Times New Roman"/>
          <w:color w:val="auto"/>
          <w:szCs w:val="28"/>
          <w:highlight w:val="none"/>
          <w:shd w:val="clear" w:color="auto" w:fill="FFFFFF"/>
        </w:rPr>
        <w:t>年</w:t>
      </w:r>
      <w:r>
        <w:rPr>
          <w:rFonts w:hint="eastAsia" w:cs="Times New Roman"/>
          <w:color w:val="auto"/>
          <w:kern w:val="0"/>
          <w:szCs w:val="28"/>
          <w:highlight w:val="none"/>
          <w:shd w:val="clear" w:color="auto" w:fill="FFFFFF"/>
        </w:rPr>
        <w:t>天然气用量为</w:t>
      </w:r>
      <w:r>
        <w:rPr>
          <w:rFonts w:cs="Times New Roman"/>
          <w:color w:val="auto"/>
          <w:kern w:val="0"/>
          <w:szCs w:val="28"/>
          <w:highlight w:val="none"/>
          <w:shd w:val="clear" w:color="auto" w:fill="FFFFFF"/>
        </w:rPr>
        <w:t>6798.3</w:t>
      </w:r>
      <w:r>
        <w:rPr>
          <w:rFonts w:hint="eastAsia" w:cs="Times New Roman"/>
          <w:color w:val="auto"/>
          <w:kern w:val="0"/>
          <w:szCs w:val="28"/>
          <w:highlight w:val="none"/>
          <w:shd w:val="clear" w:color="auto" w:fill="FFFFFF"/>
        </w:rPr>
        <w:t>万</w:t>
      </w:r>
      <w:r>
        <w:rPr>
          <w:rFonts w:cs="Times New Roman"/>
          <w:color w:val="auto"/>
          <w:kern w:val="0"/>
          <w:szCs w:val="28"/>
          <w:highlight w:val="none"/>
          <w:shd w:val="clear" w:color="auto" w:fill="FFFFFF"/>
        </w:rPr>
        <w:t>Nm</w:t>
      </w:r>
      <w:r>
        <w:rPr>
          <w:rFonts w:cs="Times New Roman"/>
          <w:color w:val="auto"/>
          <w:kern w:val="0"/>
          <w:szCs w:val="28"/>
          <w:highlight w:val="none"/>
          <w:shd w:val="clear" w:color="auto" w:fill="FFFFFF"/>
          <w:vertAlign w:val="superscript"/>
        </w:rPr>
        <w:t>3</w:t>
      </w:r>
      <w:r>
        <w:rPr>
          <w:rFonts w:hint="eastAsia" w:cs="Times New Roman"/>
          <w:color w:val="auto"/>
          <w:kern w:val="0"/>
          <w:szCs w:val="28"/>
          <w:highlight w:val="none"/>
          <w:shd w:val="clear" w:color="auto" w:fill="FFFFFF"/>
        </w:rPr>
        <w:t>。</w:t>
      </w:r>
    </w:p>
    <w:p>
      <w:pPr>
        <w:autoSpaceDE w:val="0"/>
        <w:autoSpaceDN w:val="0"/>
        <w:adjustRightInd w:val="0"/>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rPr>
        <w:t>（2）场站建设</w:t>
      </w:r>
    </w:p>
    <w:p>
      <w:pPr>
        <w:autoSpaceDE w:val="0"/>
        <w:autoSpaceDN w:val="0"/>
        <w:adjustRightInd w:val="0"/>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rPr>
        <w:t>建设储量为</w:t>
      </w:r>
      <w:r>
        <w:rPr>
          <w:rFonts w:hint="eastAsia" w:cs="Times New Roman"/>
          <w:color w:val="auto"/>
          <w:kern w:val="0"/>
          <w:szCs w:val="28"/>
          <w:highlight w:val="none"/>
          <w:shd w:val="clear" w:color="auto" w:fill="FFFFFF"/>
          <w:lang w:val="en-US" w:eastAsia="zh-CN"/>
        </w:rPr>
        <w:t>600M</w:t>
      </w:r>
      <w:r>
        <w:rPr>
          <w:rFonts w:hint="eastAsia" w:cs="Times New Roman"/>
          <w:color w:val="auto"/>
          <w:kern w:val="0"/>
          <w:szCs w:val="28"/>
          <w:highlight w:val="none"/>
          <w:shd w:val="clear" w:color="auto" w:fill="FFFFFF"/>
          <w:vertAlign w:val="superscript"/>
          <w:lang w:val="en-US" w:eastAsia="zh-CN"/>
        </w:rPr>
        <w:t>3</w:t>
      </w:r>
      <w:r>
        <w:rPr>
          <w:rFonts w:hint="eastAsia" w:cs="Times New Roman"/>
          <w:color w:val="auto"/>
          <w:kern w:val="0"/>
          <w:szCs w:val="28"/>
          <w:highlight w:val="none"/>
          <w:shd w:val="clear" w:color="auto" w:fill="FFFFFF"/>
        </w:rPr>
        <w:t>LNG气化站1座，L-CNG加气站2座；天然气门站1座。</w:t>
      </w:r>
    </w:p>
    <w:p>
      <w:pPr>
        <w:autoSpaceDE w:val="0"/>
        <w:autoSpaceDN w:val="0"/>
        <w:adjustRightInd w:val="0"/>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rPr>
        <w:t>（3）管网建设</w:t>
      </w:r>
    </w:p>
    <w:p>
      <w:pPr>
        <w:autoSpaceDE w:val="0"/>
        <w:autoSpaceDN w:val="0"/>
        <w:adjustRightInd w:val="0"/>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rPr>
        <w:t xml:space="preserve">   配套中压管网70公里、高压管道20公里。</w:t>
      </w:r>
    </w:p>
    <w:p>
      <w:pPr>
        <w:autoSpaceDE w:val="0"/>
        <w:autoSpaceDN w:val="0"/>
        <w:adjustRightInd w:val="0"/>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rPr>
        <w:t>（4）配套设施建设</w:t>
      </w:r>
    </w:p>
    <w:p>
      <w:pPr>
        <w:autoSpaceDE w:val="0"/>
        <w:autoSpaceDN w:val="0"/>
        <w:adjustRightInd w:val="0"/>
        <w:ind w:firstLine="566"/>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rPr>
        <w:t>建设营业客服中心1座，SCADA系统1套。</w:t>
      </w:r>
    </w:p>
    <w:p>
      <w:pPr>
        <w:autoSpaceDE w:val="0"/>
        <w:autoSpaceDN w:val="0"/>
        <w:adjustRightInd w:val="0"/>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1.3.3 </w:t>
      </w:r>
      <w:r>
        <w:rPr>
          <w:rFonts w:cs="Times New Roman"/>
          <w:color w:val="auto"/>
          <w:szCs w:val="28"/>
          <w:highlight w:val="none"/>
          <w:shd w:val="clear" w:color="auto" w:fill="FFFFFF"/>
        </w:rPr>
        <w:t>项目</w:t>
      </w:r>
      <w:r>
        <w:rPr>
          <w:rFonts w:hint="eastAsia" w:cs="Times New Roman"/>
          <w:color w:val="auto"/>
          <w:szCs w:val="28"/>
          <w:highlight w:val="none"/>
          <w:shd w:val="clear" w:color="auto" w:fill="FFFFFF"/>
        </w:rPr>
        <w:t>总投资</w:t>
      </w:r>
    </w:p>
    <w:p>
      <w:pPr>
        <w:spacing w:line="360" w:lineRule="auto"/>
        <w:ind w:firstLine="560" w:firstLineChars="200"/>
        <w:rPr>
          <w:rFonts w:ascii="宋体" w:hAnsi="宋体"/>
          <w:color w:val="auto"/>
          <w:highlight w:val="none"/>
        </w:rPr>
      </w:pPr>
      <w:r>
        <w:rPr>
          <w:rFonts w:hint="eastAsia" w:ascii="宋体" w:hAnsi="宋体"/>
          <w:color w:val="auto"/>
          <w:highlight w:val="none"/>
        </w:rPr>
        <w:t>本项目总投资为7974.8万元。投资组成见下表：</w:t>
      </w:r>
    </w:p>
    <w:p>
      <w:pPr>
        <w:spacing w:line="360" w:lineRule="auto"/>
        <w:jc w:val="center"/>
        <w:rPr>
          <w:rFonts w:ascii="宋体" w:hAnsi="宋体"/>
          <w:b/>
          <w:bCs/>
          <w:color w:val="auto"/>
          <w:kern w:val="0"/>
          <w:highlight w:val="none"/>
        </w:rPr>
      </w:pPr>
      <w:r>
        <w:rPr>
          <w:rFonts w:ascii="宋体" w:hAnsi="宋体"/>
          <w:b/>
          <w:bCs/>
          <w:color w:val="auto"/>
          <w:kern w:val="0"/>
          <w:highlight w:val="none"/>
        </w:rPr>
        <w:t>费用组成</w:t>
      </w:r>
    </w:p>
    <w:tbl>
      <w:tblPr>
        <w:tblStyle w:val="26"/>
        <w:tblW w:w="7695" w:type="dxa"/>
        <w:tblInd w:w="3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3585"/>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序号</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费用名称</w:t>
            </w:r>
          </w:p>
        </w:tc>
        <w:tc>
          <w:tcPr>
            <w:tcW w:w="264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金额(万元人民币)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一</w:t>
            </w:r>
          </w:p>
        </w:tc>
        <w:tc>
          <w:tcPr>
            <w:tcW w:w="3585" w:type="dxa"/>
            <w:vAlign w:val="center"/>
          </w:tcPr>
          <w:p>
            <w:pPr>
              <w:spacing w:line="360" w:lineRule="auto"/>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 xml:space="preserve">        工程费用</w:t>
            </w:r>
          </w:p>
        </w:tc>
        <w:tc>
          <w:tcPr>
            <w:tcW w:w="2640" w:type="dxa"/>
            <w:vAlign w:val="center"/>
          </w:tcPr>
          <w:p>
            <w:pPr>
              <w:spacing w:line="360" w:lineRule="auto"/>
              <w:ind w:left="386" w:firstLine="539"/>
              <w:jc w:val="left"/>
              <w:rPr>
                <w:rFonts w:ascii="宋体" w:hAnsi="宋体"/>
                <w:color w:val="auto"/>
                <w:sz w:val="21"/>
                <w:szCs w:val="21"/>
                <w:highlight w:val="none"/>
              </w:rPr>
            </w:pPr>
            <w:r>
              <w:rPr>
                <w:rFonts w:hint="eastAsia" w:ascii="宋体" w:hAnsi="宋体"/>
                <w:color w:val="auto"/>
                <w:sz w:val="21"/>
                <w:szCs w:val="21"/>
                <w:highlight w:val="none"/>
              </w:rPr>
              <w:t>6220.3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二</w:t>
            </w:r>
          </w:p>
        </w:tc>
        <w:tc>
          <w:tcPr>
            <w:tcW w:w="3585" w:type="dxa"/>
            <w:vAlign w:val="center"/>
          </w:tcPr>
          <w:p>
            <w:pPr>
              <w:spacing w:line="360" w:lineRule="auto"/>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 xml:space="preserve">        其它费用</w:t>
            </w:r>
          </w:p>
        </w:tc>
        <w:tc>
          <w:tcPr>
            <w:tcW w:w="2640" w:type="dxa"/>
            <w:vAlign w:val="center"/>
          </w:tcPr>
          <w:p>
            <w:pPr>
              <w:spacing w:line="360" w:lineRule="auto"/>
              <w:ind w:left="386" w:firstLine="539"/>
              <w:jc w:val="left"/>
              <w:rPr>
                <w:rFonts w:ascii="宋体" w:hAnsi="宋体"/>
                <w:color w:val="auto"/>
                <w:sz w:val="21"/>
                <w:szCs w:val="21"/>
                <w:highlight w:val="none"/>
              </w:rPr>
            </w:pPr>
            <w:r>
              <w:rPr>
                <w:rFonts w:hint="eastAsia" w:ascii="宋体" w:hAnsi="宋体"/>
                <w:color w:val="auto"/>
                <w:sz w:val="21"/>
                <w:szCs w:val="21"/>
                <w:highlight w:val="none"/>
              </w:rPr>
              <w:t>826.9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三</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基本预备费</w:t>
            </w:r>
          </w:p>
        </w:tc>
        <w:tc>
          <w:tcPr>
            <w:tcW w:w="2640" w:type="dxa"/>
            <w:vAlign w:val="center"/>
          </w:tcPr>
          <w:p>
            <w:pPr>
              <w:spacing w:line="360" w:lineRule="auto"/>
              <w:ind w:left="386" w:firstLine="539"/>
              <w:jc w:val="left"/>
              <w:rPr>
                <w:rFonts w:ascii="宋体" w:hAnsi="宋体"/>
                <w:color w:val="auto"/>
                <w:sz w:val="21"/>
                <w:szCs w:val="21"/>
                <w:highlight w:val="none"/>
              </w:rPr>
            </w:pPr>
            <w:r>
              <w:rPr>
                <w:rFonts w:hint="eastAsia" w:ascii="宋体" w:hAnsi="宋体"/>
                <w:color w:val="auto"/>
                <w:sz w:val="21"/>
                <w:szCs w:val="21"/>
                <w:highlight w:val="none"/>
              </w:rPr>
              <w:t>563.8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四</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建设投资</w:t>
            </w:r>
          </w:p>
        </w:tc>
        <w:tc>
          <w:tcPr>
            <w:tcW w:w="2640" w:type="dxa"/>
            <w:vAlign w:val="center"/>
          </w:tcPr>
          <w:p>
            <w:pPr>
              <w:spacing w:line="360" w:lineRule="auto"/>
              <w:ind w:left="386" w:firstLine="539"/>
              <w:jc w:val="left"/>
              <w:rPr>
                <w:rFonts w:ascii="宋体" w:hAnsi="宋体"/>
                <w:color w:val="auto"/>
                <w:sz w:val="21"/>
                <w:szCs w:val="21"/>
                <w:highlight w:val="none"/>
              </w:rPr>
            </w:pPr>
            <w:r>
              <w:rPr>
                <w:rFonts w:hint="eastAsia" w:ascii="宋体" w:hAnsi="宋体"/>
                <w:color w:val="auto"/>
                <w:sz w:val="21"/>
                <w:szCs w:val="21"/>
                <w:highlight w:val="none"/>
              </w:rPr>
              <w:t>7610.9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五</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建设期利息</w:t>
            </w:r>
          </w:p>
        </w:tc>
        <w:tc>
          <w:tcPr>
            <w:tcW w:w="2640" w:type="dxa"/>
            <w:vAlign w:val="center"/>
          </w:tcPr>
          <w:p>
            <w:pPr>
              <w:spacing w:line="360" w:lineRule="auto"/>
              <w:ind w:left="386" w:firstLine="539"/>
              <w:jc w:val="left"/>
              <w:rPr>
                <w:rFonts w:ascii="宋体" w:hAnsi="宋体"/>
                <w:color w:val="auto"/>
                <w:sz w:val="21"/>
                <w:szCs w:val="21"/>
                <w:highlight w:val="none"/>
              </w:rPr>
            </w:pPr>
            <w:r>
              <w:rPr>
                <w:rFonts w:hint="eastAsia" w:ascii="宋体" w:hAnsi="宋体"/>
                <w:color w:val="auto"/>
                <w:sz w:val="21"/>
                <w:szCs w:val="21"/>
                <w:highlight w:val="none"/>
              </w:rPr>
              <w:t>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六</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流动资金</w:t>
            </w:r>
          </w:p>
        </w:tc>
        <w:tc>
          <w:tcPr>
            <w:tcW w:w="2640" w:type="dxa"/>
            <w:vAlign w:val="center"/>
          </w:tcPr>
          <w:p>
            <w:pPr>
              <w:spacing w:line="360" w:lineRule="auto"/>
              <w:ind w:left="386" w:firstLine="539"/>
              <w:jc w:val="left"/>
              <w:rPr>
                <w:rFonts w:ascii="宋体" w:hAnsi="宋体"/>
                <w:color w:val="auto"/>
                <w:sz w:val="21"/>
                <w:szCs w:val="21"/>
                <w:highlight w:val="none"/>
              </w:rPr>
            </w:pPr>
            <w:r>
              <w:rPr>
                <w:rFonts w:hint="eastAsia" w:ascii="宋体" w:hAnsi="宋体"/>
                <w:color w:val="auto"/>
                <w:sz w:val="21"/>
                <w:szCs w:val="21"/>
                <w:highlight w:val="none"/>
              </w:rPr>
              <w:t>282．3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七</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总投资</w:t>
            </w:r>
          </w:p>
        </w:tc>
        <w:tc>
          <w:tcPr>
            <w:tcW w:w="2640" w:type="dxa"/>
            <w:vAlign w:val="center"/>
          </w:tcPr>
          <w:p>
            <w:pPr>
              <w:spacing w:line="360" w:lineRule="auto"/>
              <w:ind w:left="386" w:firstLine="539"/>
              <w:jc w:val="left"/>
              <w:rPr>
                <w:rFonts w:ascii="宋体" w:hAnsi="宋体"/>
                <w:color w:val="auto"/>
                <w:sz w:val="21"/>
                <w:szCs w:val="21"/>
                <w:highlight w:val="none"/>
              </w:rPr>
            </w:pPr>
            <w:r>
              <w:rPr>
                <w:rFonts w:hint="eastAsia" w:ascii="宋体" w:hAnsi="宋体"/>
                <w:color w:val="auto"/>
                <w:sz w:val="21"/>
                <w:szCs w:val="21"/>
                <w:highlight w:val="none"/>
              </w:rPr>
              <w:t>7964．6</w:t>
            </w:r>
          </w:p>
        </w:tc>
      </w:tr>
    </w:tbl>
    <w:p>
      <w:pPr>
        <w:autoSpaceDE w:val="0"/>
        <w:autoSpaceDN w:val="0"/>
        <w:adjustRightInd w:val="0"/>
        <w:ind w:firstLine="566"/>
        <w:jc w:val="left"/>
        <w:rPr>
          <w:rFonts w:cs="Times New Roman"/>
          <w:color w:val="auto"/>
          <w:kern w:val="0"/>
          <w:szCs w:val="28"/>
          <w:highlight w:val="none"/>
          <w:shd w:val="clear" w:color="auto" w:fill="FFFFFF"/>
        </w:rPr>
      </w:pPr>
    </w:p>
    <w:p>
      <w:pPr>
        <w:pStyle w:val="3"/>
        <w:rPr>
          <w:color w:val="auto"/>
          <w:highlight w:val="none"/>
        </w:rPr>
      </w:pPr>
      <w:bookmarkStart w:id="12" w:name="_Toc21258"/>
      <w:r>
        <w:rPr>
          <w:rFonts w:hint="eastAsia"/>
          <w:color w:val="auto"/>
          <w:highlight w:val="none"/>
        </w:rPr>
        <w:t>1.4</w:t>
      </w:r>
      <w:r>
        <w:rPr>
          <w:color w:val="auto"/>
          <w:highlight w:val="none"/>
        </w:rPr>
        <w:t>项目实施目标与原则</w:t>
      </w:r>
      <w:bookmarkEnd w:id="12"/>
    </w:p>
    <w:p>
      <w:pPr>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1.4.1</w:t>
      </w:r>
      <w:r>
        <w:rPr>
          <w:rFonts w:cs="Times New Roman"/>
          <w:color w:val="auto"/>
          <w:szCs w:val="28"/>
          <w:highlight w:val="none"/>
          <w:shd w:val="clear" w:color="auto" w:fill="FFFFFF"/>
        </w:rPr>
        <w:t>项目实施目标</w:t>
      </w:r>
    </w:p>
    <w:p>
      <w:pPr>
        <w:jc w:val="left"/>
        <w:rPr>
          <w:rFonts w:cs="Times New Roman"/>
          <w:color w:val="auto"/>
          <w:szCs w:val="28"/>
          <w:highlight w:val="none"/>
          <w:shd w:val="clear" w:color="auto" w:fill="FFFFFF"/>
        </w:rPr>
      </w:pPr>
      <w:r>
        <w:rPr>
          <w:rFonts w:hint="eastAsia"/>
          <w:color w:val="auto"/>
          <w:szCs w:val="28"/>
          <w:highlight w:val="none"/>
          <w:shd w:val="clear" w:color="auto" w:fill="FFFFFF"/>
        </w:rPr>
        <w:t xml:space="preserve">    </w:t>
      </w:r>
      <w:r>
        <w:rPr>
          <w:color w:val="auto"/>
          <w:szCs w:val="28"/>
          <w:highlight w:val="none"/>
          <w:shd w:val="clear" w:color="auto" w:fill="FFFFFF"/>
        </w:rPr>
        <w:t>授权一家拥有城市管道燃气专业经营资质</w:t>
      </w:r>
      <w:r>
        <w:rPr>
          <w:rFonts w:hint="eastAsia"/>
          <w:color w:val="auto"/>
          <w:szCs w:val="28"/>
          <w:highlight w:val="none"/>
          <w:shd w:val="clear" w:color="auto" w:fill="FFFFFF"/>
          <w:lang w:val="en-US" w:eastAsia="zh-CN"/>
        </w:rPr>
        <w:t>及运营管理经验</w:t>
      </w:r>
      <w:r>
        <w:rPr>
          <w:color w:val="auto"/>
          <w:szCs w:val="28"/>
          <w:highlight w:val="none"/>
          <w:shd w:val="clear" w:color="auto" w:fill="FFFFFF"/>
        </w:rPr>
        <w:t>的企业</w:t>
      </w:r>
      <w:r>
        <w:rPr>
          <w:rFonts w:hint="eastAsia"/>
          <w:color w:val="auto"/>
          <w:szCs w:val="28"/>
          <w:highlight w:val="none"/>
          <w:shd w:val="clear" w:color="auto" w:fill="FFFFFF"/>
          <w:lang w:val="en-US" w:eastAsia="zh-CN"/>
        </w:rPr>
        <w:t>与县政府指定县属国企合资成立项目公司，并独家建设及</w:t>
      </w:r>
      <w:r>
        <w:rPr>
          <w:color w:val="auto"/>
          <w:szCs w:val="28"/>
          <w:highlight w:val="none"/>
          <w:shd w:val="clear" w:color="auto" w:fill="FFFFFF"/>
        </w:rPr>
        <w:t>经营阳山县管道燃气。</w:t>
      </w:r>
    </w:p>
    <w:p>
      <w:pPr>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1.4.2</w:t>
      </w:r>
      <w:r>
        <w:rPr>
          <w:rFonts w:cs="Times New Roman"/>
          <w:color w:val="auto"/>
          <w:szCs w:val="28"/>
          <w:highlight w:val="none"/>
          <w:shd w:val="clear" w:color="auto" w:fill="FFFFFF"/>
        </w:rPr>
        <w:t>项目实施原则</w:t>
      </w:r>
    </w:p>
    <w:p>
      <w:pPr>
        <w:autoSpaceDE w:val="0"/>
        <w:autoSpaceDN w:val="0"/>
        <w:adjustRightInd w:val="0"/>
        <w:jc w:val="left"/>
        <w:rPr>
          <w:color w:val="auto"/>
          <w:szCs w:val="28"/>
          <w:highlight w:val="none"/>
          <w:shd w:val="clear" w:color="auto" w:fill="FFFFFF"/>
        </w:rPr>
      </w:pPr>
      <w:r>
        <w:rPr>
          <w:rFonts w:hint="eastAsia" w:ascii="仿宋_GB2312" w:eastAsia="仿宋_GB2312" w:cs="仿宋_GB2312"/>
          <w:color w:val="auto"/>
          <w:kern w:val="0"/>
          <w:sz w:val="30"/>
          <w:szCs w:val="30"/>
          <w:highlight w:val="none"/>
        </w:rPr>
        <w:t>（</w:t>
      </w:r>
      <w:r>
        <w:rPr>
          <w:rFonts w:hint="eastAsia" w:eastAsia="仿宋_GB2312"/>
          <w:color w:val="auto"/>
          <w:szCs w:val="28"/>
          <w:highlight w:val="none"/>
          <w:shd w:val="clear" w:color="auto" w:fill="FFFFFF"/>
        </w:rPr>
        <w:t>1</w:t>
      </w:r>
      <w:r>
        <w:rPr>
          <w:rFonts w:hint="eastAsia"/>
          <w:color w:val="auto"/>
          <w:szCs w:val="28"/>
          <w:highlight w:val="none"/>
          <w:shd w:val="clear" w:color="auto" w:fill="FFFFFF"/>
        </w:rPr>
        <w:t>）发挥社会资本融资、专业、技术和管理优势，提高公共服务质量效率；</w:t>
      </w:r>
    </w:p>
    <w:p>
      <w:pPr>
        <w:autoSpaceDE w:val="0"/>
        <w:autoSpaceDN w:val="0"/>
        <w:adjustRightInd w:val="0"/>
        <w:jc w:val="left"/>
        <w:rPr>
          <w:color w:val="auto"/>
          <w:szCs w:val="28"/>
          <w:highlight w:val="none"/>
          <w:shd w:val="clear" w:color="auto" w:fill="FFFFFF"/>
        </w:rPr>
      </w:pPr>
      <w:r>
        <w:rPr>
          <w:rFonts w:hint="eastAsia"/>
          <w:color w:val="auto"/>
          <w:szCs w:val="28"/>
          <w:highlight w:val="none"/>
          <w:shd w:val="clear" w:color="auto" w:fill="FFFFFF"/>
        </w:rPr>
        <w:t>（2）转变政府职能，强化政府与社会资本协商合作；</w:t>
      </w:r>
    </w:p>
    <w:p>
      <w:pPr>
        <w:autoSpaceDE w:val="0"/>
        <w:autoSpaceDN w:val="0"/>
        <w:adjustRightInd w:val="0"/>
        <w:jc w:val="left"/>
        <w:rPr>
          <w:color w:val="auto"/>
          <w:szCs w:val="28"/>
          <w:highlight w:val="none"/>
          <w:shd w:val="clear" w:color="auto" w:fill="FFFFFF"/>
        </w:rPr>
      </w:pPr>
      <w:r>
        <w:rPr>
          <w:rFonts w:hint="eastAsia"/>
          <w:color w:val="auto"/>
          <w:szCs w:val="28"/>
          <w:highlight w:val="none"/>
          <w:shd w:val="clear" w:color="auto" w:fill="FFFFFF"/>
        </w:rPr>
        <w:t>（3）保护社会资本合法权益，保证特许经营持续性和稳定性；</w:t>
      </w:r>
    </w:p>
    <w:p>
      <w:pPr>
        <w:jc w:val="left"/>
        <w:rPr>
          <w:rFonts w:cs="Times New Roman"/>
          <w:color w:val="auto"/>
          <w:szCs w:val="28"/>
          <w:highlight w:val="none"/>
          <w:shd w:val="clear" w:color="auto" w:fill="FFFFFF"/>
        </w:rPr>
      </w:pPr>
      <w:r>
        <w:rPr>
          <w:rFonts w:hint="eastAsia"/>
          <w:color w:val="auto"/>
          <w:szCs w:val="28"/>
          <w:highlight w:val="none"/>
          <w:shd w:val="clear" w:color="auto" w:fill="FFFFFF"/>
        </w:rPr>
        <w:t>（4）兼顾经营性和公益性平衡，维护公共利益。</w:t>
      </w:r>
    </w:p>
    <w:p>
      <w:pPr>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1.4.3</w:t>
      </w:r>
      <w:r>
        <w:rPr>
          <w:rFonts w:cs="Times New Roman"/>
          <w:color w:val="auto"/>
          <w:szCs w:val="28"/>
          <w:highlight w:val="none"/>
          <w:shd w:val="clear" w:color="auto" w:fill="FFFFFF"/>
        </w:rPr>
        <w:t>项目实施必要性</w:t>
      </w:r>
    </w:p>
    <w:p>
      <w:pPr>
        <w:autoSpaceDE w:val="0"/>
        <w:autoSpaceDN w:val="0"/>
        <w:adjustRightInd w:val="0"/>
        <w:jc w:val="left"/>
        <w:rPr>
          <w:rFonts w:cs="Times New Roman"/>
          <w:color w:val="auto"/>
          <w:szCs w:val="28"/>
          <w:highlight w:val="none"/>
          <w:shd w:val="clear" w:color="auto" w:fill="FFFFFF"/>
        </w:rPr>
      </w:pPr>
      <w:r>
        <w:rPr>
          <w:rFonts w:hint="eastAsia" w:ascii="仿宋_GB2312" w:eastAsia="仿宋_GB2312" w:cs="仿宋_GB2312"/>
          <w:color w:val="auto"/>
          <w:kern w:val="0"/>
          <w:sz w:val="30"/>
          <w:szCs w:val="30"/>
          <w:highlight w:val="none"/>
        </w:rPr>
        <w:t>（</w:t>
      </w:r>
      <w:r>
        <w:rPr>
          <w:rFonts w:hint="eastAsia" w:eastAsia="仿宋_GB2312"/>
          <w:color w:val="auto"/>
          <w:szCs w:val="28"/>
          <w:highlight w:val="none"/>
          <w:shd w:val="clear" w:color="auto" w:fill="FFFFFF"/>
        </w:rPr>
        <w:t>1</w:t>
      </w:r>
      <w:r>
        <w:rPr>
          <w:rFonts w:hint="eastAsia"/>
          <w:color w:val="auto"/>
          <w:szCs w:val="28"/>
          <w:highlight w:val="none"/>
          <w:shd w:val="clear" w:color="auto" w:fill="FFFFFF"/>
        </w:rPr>
        <w:t>）</w:t>
      </w:r>
      <w:r>
        <w:rPr>
          <w:rFonts w:hint="eastAsia" w:cs="Times New Roman"/>
          <w:color w:val="auto"/>
          <w:szCs w:val="28"/>
          <w:highlight w:val="none"/>
          <w:shd w:val="clear" w:color="auto" w:fill="FFFFFF"/>
        </w:rPr>
        <w:t>使用清洁、高效的天然气对改善能源结构、节约能源、促进经济的可持续发展、方便人民生活、提高人民的生活质量、改善环境质量都显得十分必要。</w:t>
      </w:r>
    </w:p>
    <w:p>
      <w:pPr>
        <w:autoSpaceDE w:val="0"/>
        <w:autoSpaceDN w:val="0"/>
        <w:adjustRightInd w:val="0"/>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（2）目前，广东省天然气管网已经向广东各地区输送管道天然气，广东省内可利用</w:t>
      </w:r>
      <w:r>
        <w:rPr>
          <w:rFonts w:cs="Times New Roman"/>
          <w:color w:val="auto"/>
          <w:szCs w:val="28"/>
          <w:highlight w:val="none"/>
          <w:shd w:val="clear" w:color="auto" w:fill="FFFFFF"/>
        </w:rPr>
        <w:t>LNG</w:t>
      </w:r>
      <w:r>
        <w:rPr>
          <w:rFonts w:hint="eastAsia" w:cs="Times New Roman"/>
          <w:color w:val="auto"/>
          <w:szCs w:val="28"/>
          <w:highlight w:val="none"/>
          <w:shd w:val="clear" w:color="auto" w:fill="FFFFFF"/>
        </w:rPr>
        <w:t>气源丰富。这对阳山县加快形成以天然气为主的城市燃气供应系统，推进天然气管网建设和天然气供应服务的发展，带来了不可多得的机遇。</w:t>
      </w:r>
    </w:p>
    <w:p>
      <w:pPr>
        <w:autoSpaceDE w:val="0"/>
        <w:autoSpaceDN w:val="0"/>
        <w:adjustRightInd w:val="0"/>
        <w:jc w:val="left"/>
        <w:rPr>
          <w:color w:val="auto"/>
          <w:szCs w:val="28"/>
          <w:highlight w:val="none"/>
          <w:shd w:val="clear" w:color="auto" w:fill="FFFFFF"/>
        </w:rPr>
      </w:pPr>
      <w:r>
        <w:rPr>
          <w:rFonts w:hint="eastAsia" w:cs="Times New Roman"/>
          <w:color w:val="auto"/>
          <w:szCs w:val="28"/>
          <w:highlight w:val="none"/>
          <w:shd w:val="clear" w:color="auto" w:fill="FFFFFF"/>
        </w:rPr>
        <w:t>（3）管道燃气作为城市主要基础设施之一，其发展是阳山县经济的高速发展的迫切要求。</w:t>
      </w:r>
    </w:p>
    <w:p>
      <w:pPr>
        <w:autoSpaceDE w:val="0"/>
        <w:autoSpaceDN w:val="0"/>
        <w:adjustRightInd w:val="0"/>
        <w:ind w:firstLine="560"/>
        <w:jc w:val="left"/>
        <w:rPr>
          <w:color w:val="auto"/>
          <w:szCs w:val="28"/>
          <w:highlight w:val="none"/>
          <w:shd w:val="clear" w:color="auto" w:fill="FFFFFF"/>
        </w:rPr>
      </w:pPr>
    </w:p>
    <w:p>
      <w:pPr>
        <w:autoSpaceDE w:val="0"/>
        <w:autoSpaceDN w:val="0"/>
        <w:adjustRightInd w:val="0"/>
        <w:ind w:firstLine="560"/>
        <w:jc w:val="left"/>
        <w:rPr>
          <w:color w:val="auto"/>
          <w:szCs w:val="28"/>
          <w:highlight w:val="none"/>
          <w:shd w:val="clear" w:color="auto" w:fill="FFFFFF"/>
        </w:rPr>
      </w:pPr>
    </w:p>
    <w:p>
      <w:pPr>
        <w:autoSpaceDE w:val="0"/>
        <w:autoSpaceDN w:val="0"/>
        <w:adjustRightInd w:val="0"/>
        <w:ind w:firstLine="560"/>
        <w:jc w:val="left"/>
        <w:rPr>
          <w:color w:val="auto"/>
          <w:szCs w:val="28"/>
          <w:highlight w:val="none"/>
          <w:shd w:val="clear" w:color="auto" w:fill="FFFFFF"/>
        </w:rPr>
      </w:pPr>
    </w:p>
    <w:p>
      <w:pPr>
        <w:autoSpaceDE w:val="0"/>
        <w:autoSpaceDN w:val="0"/>
        <w:adjustRightInd w:val="0"/>
        <w:ind w:firstLine="560"/>
        <w:jc w:val="left"/>
        <w:rPr>
          <w:color w:val="auto"/>
          <w:szCs w:val="28"/>
          <w:highlight w:val="none"/>
          <w:shd w:val="clear" w:color="auto" w:fill="FFFFFF"/>
        </w:rPr>
      </w:pPr>
    </w:p>
    <w:p>
      <w:pPr>
        <w:autoSpaceDE w:val="0"/>
        <w:autoSpaceDN w:val="0"/>
        <w:adjustRightInd w:val="0"/>
        <w:ind w:firstLine="560"/>
        <w:jc w:val="left"/>
        <w:rPr>
          <w:color w:val="auto"/>
          <w:szCs w:val="28"/>
          <w:highlight w:val="none"/>
          <w:shd w:val="clear" w:color="auto" w:fill="FFFFFF"/>
        </w:rPr>
      </w:pPr>
    </w:p>
    <w:p>
      <w:pPr>
        <w:autoSpaceDE w:val="0"/>
        <w:autoSpaceDN w:val="0"/>
        <w:adjustRightInd w:val="0"/>
        <w:ind w:firstLine="560"/>
        <w:jc w:val="left"/>
        <w:rPr>
          <w:color w:val="auto"/>
          <w:szCs w:val="28"/>
          <w:highlight w:val="none"/>
          <w:shd w:val="clear" w:color="auto" w:fill="FFFFFF"/>
        </w:rPr>
      </w:pPr>
    </w:p>
    <w:p>
      <w:pPr>
        <w:autoSpaceDE w:val="0"/>
        <w:autoSpaceDN w:val="0"/>
        <w:adjustRightInd w:val="0"/>
        <w:jc w:val="left"/>
        <w:rPr>
          <w:color w:val="auto"/>
          <w:szCs w:val="28"/>
          <w:highlight w:val="none"/>
          <w:shd w:val="clear" w:color="auto" w:fill="FFFFFF"/>
        </w:rPr>
      </w:pPr>
    </w:p>
    <w:p>
      <w:pPr>
        <w:autoSpaceDE w:val="0"/>
        <w:autoSpaceDN w:val="0"/>
        <w:adjustRightInd w:val="0"/>
        <w:jc w:val="left"/>
        <w:rPr>
          <w:color w:val="auto"/>
          <w:szCs w:val="28"/>
          <w:highlight w:val="none"/>
          <w:shd w:val="clear" w:color="auto" w:fill="FFFFFF"/>
        </w:rPr>
      </w:pPr>
      <w:r>
        <w:rPr>
          <w:color w:val="auto"/>
          <w:szCs w:val="28"/>
          <w:highlight w:val="none"/>
          <w:shd w:val="clear" w:color="auto" w:fill="FFFFFF"/>
        </w:rPr>
        <w:br w:type="page"/>
      </w:r>
    </w:p>
    <w:p>
      <w:pPr>
        <w:pStyle w:val="2"/>
        <w:numPr>
          <w:ilvl w:val="0"/>
          <w:numId w:val="1"/>
        </w:numPr>
        <w:rPr>
          <w:color w:val="auto"/>
          <w:highlight w:val="none"/>
          <w:shd w:val="clear" w:color="auto" w:fill="FFFFFF"/>
        </w:rPr>
      </w:pPr>
      <w:bookmarkStart w:id="13" w:name="_Toc9788"/>
      <w:r>
        <w:rPr>
          <w:color w:val="auto"/>
          <w:highlight w:val="none"/>
          <w:shd w:val="clear" w:color="auto" w:fill="FFFFFF"/>
        </w:rPr>
        <w:t>项目全生命周期成本、技术路线和工程方案的合理性</w:t>
      </w:r>
      <w:bookmarkEnd w:id="13"/>
    </w:p>
    <w:p>
      <w:pPr>
        <w:pStyle w:val="3"/>
        <w:rPr>
          <w:color w:val="auto"/>
          <w:highlight w:val="none"/>
          <w:shd w:val="clear" w:color="auto" w:fill="FFFFFF"/>
        </w:rPr>
      </w:pPr>
      <w:bookmarkStart w:id="14" w:name="_Toc1766"/>
      <w:r>
        <w:rPr>
          <w:rFonts w:hint="eastAsia"/>
          <w:color w:val="auto"/>
          <w:highlight w:val="none"/>
          <w:shd w:val="clear" w:color="auto" w:fill="FFFFFF"/>
        </w:rPr>
        <w:t>2.1</w:t>
      </w:r>
      <w:r>
        <w:rPr>
          <w:color w:val="auto"/>
          <w:highlight w:val="none"/>
          <w:shd w:val="clear" w:color="auto" w:fill="FFFFFF"/>
        </w:rPr>
        <w:t>项目全生命周期成本</w:t>
      </w:r>
      <w:bookmarkEnd w:id="14"/>
      <w:r>
        <w:rPr>
          <w:color w:val="auto"/>
          <w:highlight w:val="none"/>
          <w:shd w:val="clear" w:color="auto" w:fill="FFFFFF"/>
        </w:rPr>
        <w:t xml:space="preserve"> </w:t>
      </w:r>
    </w:p>
    <w:p>
      <w:pPr>
        <w:autoSpaceDE w:val="0"/>
        <w:autoSpaceDN w:val="0"/>
        <w:adjustRightInd w:val="0"/>
        <w:jc w:val="left"/>
        <w:rPr>
          <w:rFonts w:cs="Times New Roman"/>
          <w:color w:val="auto"/>
          <w:kern w:val="0"/>
          <w:szCs w:val="28"/>
          <w:highlight w:val="none"/>
          <w:shd w:val="clear" w:color="auto" w:fill="FFFFFF"/>
        </w:rPr>
      </w:pPr>
      <w:r>
        <w:rPr>
          <w:rFonts w:cs="Times New Roman"/>
          <w:color w:val="auto"/>
          <w:kern w:val="0"/>
          <w:szCs w:val="28"/>
          <w:highlight w:val="none"/>
          <w:shd w:val="clear" w:color="auto" w:fill="FFFFFF"/>
        </w:rPr>
        <w:t>2.1.1初始建设成本（a）</w:t>
      </w:r>
    </w:p>
    <w:p>
      <w:pPr>
        <w:spacing w:line="360" w:lineRule="auto"/>
        <w:ind w:firstLine="560" w:firstLineChars="200"/>
        <w:rPr>
          <w:rFonts w:cs="Times New Roman"/>
          <w:color w:val="auto"/>
          <w:kern w:val="0"/>
          <w:szCs w:val="28"/>
          <w:highlight w:val="none"/>
          <w:shd w:val="clear" w:color="auto" w:fill="FFFFFF"/>
        </w:rPr>
      </w:pPr>
      <w:r>
        <w:rPr>
          <w:rFonts w:cs="Times New Roman"/>
          <w:color w:val="auto"/>
          <w:kern w:val="0"/>
          <w:szCs w:val="28"/>
          <w:highlight w:val="none"/>
          <w:shd w:val="clear" w:color="auto" w:fill="FFFFFF"/>
        </w:rPr>
        <w:t>项目初始化投资成本主要是指项目建成运行之前的所有投入，包括设备购置费、安装工程费、工程建设其他费用、建设期贷款利息、预备费等。</w:t>
      </w:r>
    </w:p>
    <w:p>
      <w:pPr>
        <w:spacing w:line="360" w:lineRule="auto"/>
        <w:rPr>
          <w:rFonts w:ascii="宋体" w:hAnsi="宋体"/>
          <w:color w:val="auto"/>
          <w:highlight w:val="none"/>
        </w:rPr>
      </w:pPr>
      <w:r>
        <w:rPr>
          <w:rFonts w:hint="eastAsia" w:ascii="宋体" w:hAnsi="宋体"/>
          <w:color w:val="auto"/>
          <w:highlight w:val="none"/>
        </w:rPr>
        <w:t xml:space="preserve">   编制依据：</w:t>
      </w:r>
    </w:p>
    <w:p>
      <w:pPr>
        <w:spacing w:line="360" w:lineRule="auto"/>
        <w:ind w:firstLine="560" w:firstLineChars="200"/>
        <w:rPr>
          <w:rFonts w:ascii="宋体" w:hAnsi="宋体"/>
          <w:color w:val="auto"/>
          <w:highlight w:val="none"/>
        </w:rPr>
      </w:pPr>
      <w:r>
        <w:rPr>
          <w:rFonts w:hint="eastAsia" w:ascii="宋体" w:hAnsi="宋体"/>
          <w:color w:val="auto"/>
          <w:highlight w:val="none"/>
        </w:rPr>
        <w:t>（一）建设部颁布《市政工程可行性研究投资估算编制办法》</w:t>
      </w:r>
      <w:r>
        <w:rPr>
          <w:rFonts w:hint="eastAsia" w:ascii="宋体" w:hAnsi="宋体"/>
          <w:color w:val="auto"/>
          <w:highlight w:val="none"/>
          <w:lang w:val="en-US" w:eastAsia="zh-CN"/>
        </w:rPr>
        <w:t>;</w:t>
      </w:r>
    </w:p>
    <w:p>
      <w:pPr>
        <w:spacing w:line="360" w:lineRule="auto"/>
        <w:ind w:firstLine="560" w:firstLineChars="200"/>
        <w:rPr>
          <w:rFonts w:ascii="宋体" w:hAnsi="宋体"/>
          <w:color w:val="auto"/>
          <w:highlight w:val="none"/>
        </w:rPr>
      </w:pPr>
      <w:r>
        <w:rPr>
          <w:rFonts w:hint="eastAsia" w:ascii="宋体" w:hAnsi="宋体"/>
          <w:color w:val="auto"/>
          <w:highlight w:val="none"/>
        </w:rPr>
        <w:t>（二）工程费用根据</w:t>
      </w:r>
      <w:r>
        <w:rPr>
          <w:rFonts w:hint="eastAsia" w:cs="Times New Roman"/>
          <w:color w:val="auto"/>
          <w:kern w:val="0"/>
          <w:szCs w:val="28"/>
          <w:highlight w:val="none"/>
          <w:shd w:val="clear" w:color="auto" w:fill="FFFFFF"/>
        </w:rPr>
        <w:t>阳山县管道燃气特许经营</w:t>
      </w:r>
      <w:r>
        <w:rPr>
          <w:rFonts w:hint="eastAsia" w:ascii="宋体" w:hAnsi="宋体"/>
          <w:color w:val="auto"/>
          <w:highlight w:val="none"/>
          <w:lang w:eastAsia="zh-CN"/>
        </w:rPr>
        <w:t>实施方案</w:t>
      </w:r>
      <w:r>
        <w:rPr>
          <w:rFonts w:hint="eastAsia" w:ascii="宋体" w:hAnsi="宋体"/>
          <w:color w:val="auto"/>
          <w:highlight w:val="none"/>
        </w:rPr>
        <w:t>进行编制，不足部分参考同类工程投资估算指标。</w:t>
      </w:r>
    </w:p>
    <w:p>
      <w:pPr>
        <w:spacing w:line="360" w:lineRule="auto"/>
        <w:ind w:firstLine="560" w:firstLineChars="200"/>
        <w:rPr>
          <w:rFonts w:ascii="宋体" w:hAnsi="宋体"/>
          <w:color w:val="auto"/>
          <w:highlight w:val="none"/>
        </w:rPr>
      </w:pPr>
      <w:r>
        <w:rPr>
          <w:rFonts w:hint="eastAsia" w:ascii="宋体" w:hAnsi="宋体"/>
          <w:color w:val="auto"/>
          <w:highlight w:val="none"/>
        </w:rPr>
        <w:t>（三）《广东省建筑工程消耗量定额》。</w:t>
      </w:r>
    </w:p>
    <w:p>
      <w:pPr>
        <w:spacing w:line="360" w:lineRule="auto"/>
        <w:ind w:firstLine="560" w:firstLineChars="200"/>
        <w:rPr>
          <w:rFonts w:ascii="宋体" w:hAnsi="宋体"/>
          <w:color w:val="auto"/>
          <w:highlight w:val="none"/>
        </w:rPr>
      </w:pPr>
      <w:r>
        <w:rPr>
          <w:rFonts w:hint="eastAsia" w:ascii="宋体" w:hAnsi="宋体"/>
          <w:color w:val="auto"/>
          <w:highlight w:val="none"/>
        </w:rPr>
        <w:t>（四）《广东省市政工程消耗量定额》。</w:t>
      </w:r>
    </w:p>
    <w:p>
      <w:pPr>
        <w:spacing w:line="360" w:lineRule="auto"/>
        <w:ind w:firstLine="560" w:firstLineChars="200"/>
        <w:rPr>
          <w:rFonts w:ascii="宋体" w:hAnsi="宋体"/>
          <w:color w:val="auto"/>
          <w:highlight w:val="none"/>
        </w:rPr>
      </w:pPr>
      <w:r>
        <w:rPr>
          <w:rFonts w:hint="eastAsia" w:ascii="宋体" w:hAnsi="宋体"/>
          <w:color w:val="auto"/>
          <w:highlight w:val="none"/>
        </w:rPr>
        <w:t>（五）《全国统一安装工程预算定额广东省综合单价表》。</w:t>
      </w:r>
    </w:p>
    <w:p>
      <w:pPr>
        <w:spacing w:line="360" w:lineRule="auto"/>
        <w:ind w:firstLine="560" w:firstLineChars="200"/>
        <w:rPr>
          <w:rFonts w:ascii="宋体" w:hAnsi="宋体"/>
          <w:color w:val="auto"/>
          <w:highlight w:val="none"/>
        </w:rPr>
      </w:pPr>
      <w:r>
        <w:rPr>
          <w:rFonts w:hint="eastAsia" w:ascii="宋体" w:hAnsi="宋体"/>
          <w:color w:val="auto"/>
          <w:highlight w:val="none"/>
        </w:rPr>
        <w:t>（六）设备及材料价格根据生产厂商报价计算。</w:t>
      </w:r>
    </w:p>
    <w:p>
      <w:pPr>
        <w:spacing w:line="360" w:lineRule="auto"/>
        <w:ind w:firstLine="560" w:firstLineChars="200"/>
        <w:rPr>
          <w:rFonts w:ascii="宋体" w:hAnsi="宋体"/>
          <w:color w:val="auto"/>
          <w:highlight w:val="none"/>
        </w:rPr>
      </w:pPr>
      <w:r>
        <w:rPr>
          <w:rFonts w:hint="eastAsia" w:ascii="宋体" w:hAnsi="宋体"/>
          <w:color w:val="auto"/>
          <w:highlight w:val="none"/>
        </w:rPr>
        <w:t>（七）其他费用</w:t>
      </w:r>
    </w:p>
    <w:p>
      <w:pPr>
        <w:spacing w:line="360" w:lineRule="auto"/>
        <w:ind w:firstLine="560" w:firstLineChars="200"/>
        <w:rPr>
          <w:rFonts w:ascii="宋体" w:hAnsi="宋体"/>
          <w:color w:val="auto"/>
          <w:highlight w:val="none"/>
        </w:rPr>
      </w:pPr>
      <w:r>
        <w:rPr>
          <w:rFonts w:hint="eastAsia" w:ascii="宋体" w:hAnsi="宋体"/>
          <w:color w:val="auto"/>
          <w:highlight w:val="none"/>
        </w:rPr>
        <w:t xml:space="preserve">  ①基本预备费按“一、二”部分费用合计的8%计取。</w:t>
      </w:r>
    </w:p>
    <w:p>
      <w:pPr>
        <w:spacing w:line="360" w:lineRule="auto"/>
        <w:ind w:firstLine="560" w:firstLineChars="200"/>
        <w:rPr>
          <w:rFonts w:ascii="宋体" w:hAnsi="宋体"/>
          <w:color w:val="auto"/>
          <w:highlight w:val="none"/>
        </w:rPr>
      </w:pPr>
      <w:r>
        <w:rPr>
          <w:rFonts w:hint="eastAsia" w:ascii="宋体" w:hAnsi="宋体"/>
          <w:color w:val="auto"/>
          <w:highlight w:val="none"/>
        </w:rPr>
        <w:t xml:space="preserve">  ②工器具及生产家具购置费按设备费及安装费总值1.5%计取。</w:t>
      </w:r>
    </w:p>
    <w:p>
      <w:pPr>
        <w:spacing w:line="360" w:lineRule="auto"/>
        <w:ind w:firstLine="560" w:firstLineChars="200"/>
        <w:rPr>
          <w:rFonts w:ascii="宋体" w:hAnsi="宋体"/>
          <w:color w:val="auto"/>
          <w:highlight w:val="none"/>
        </w:rPr>
      </w:pPr>
      <w:r>
        <w:rPr>
          <w:rFonts w:hint="eastAsia" w:ascii="宋体" w:hAnsi="宋体"/>
          <w:color w:val="auto"/>
          <w:highlight w:val="none"/>
        </w:rPr>
        <w:t xml:space="preserve">  ③第二部分费用计取标准：</w:t>
      </w:r>
    </w:p>
    <w:p>
      <w:pPr>
        <w:spacing w:line="360" w:lineRule="auto"/>
        <w:ind w:firstLine="560" w:firstLineChars="200"/>
        <w:rPr>
          <w:rFonts w:ascii="宋体" w:hAnsi="宋体"/>
          <w:color w:val="auto"/>
          <w:highlight w:val="none"/>
        </w:rPr>
      </w:pPr>
      <w:r>
        <w:rPr>
          <w:rFonts w:hint="eastAsia" w:ascii="宋体" w:hAnsi="宋体"/>
          <w:color w:val="auto"/>
          <w:highlight w:val="none"/>
        </w:rPr>
        <w:t>建设部文件，建质[2013]57号《市政公用工程设计文件编制深度规定》；</w:t>
      </w:r>
    </w:p>
    <w:p>
      <w:pPr>
        <w:spacing w:line="360" w:lineRule="auto"/>
        <w:ind w:firstLine="560" w:firstLineChars="200"/>
        <w:rPr>
          <w:rFonts w:ascii="宋体" w:hAnsi="宋体"/>
          <w:color w:val="auto"/>
          <w:highlight w:val="none"/>
        </w:rPr>
      </w:pPr>
      <w:r>
        <w:rPr>
          <w:rFonts w:hint="eastAsia" w:ascii="宋体" w:hAnsi="宋体"/>
          <w:color w:val="auto"/>
          <w:highlight w:val="none"/>
        </w:rPr>
        <w:t>《市政工程投资估算编制办法》建标[2007]164号；</w:t>
      </w:r>
    </w:p>
    <w:p>
      <w:pPr>
        <w:spacing w:line="360" w:lineRule="auto"/>
        <w:ind w:firstLine="560" w:firstLineChars="200"/>
        <w:rPr>
          <w:rFonts w:ascii="宋体" w:hAnsi="宋体"/>
          <w:color w:val="auto"/>
          <w:highlight w:val="none"/>
        </w:rPr>
      </w:pPr>
      <w:r>
        <w:rPr>
          <w:rFonts w:hint="eastAsia" w:ascii="宋体" w:hAnsi="宋体"/>
          <w:color w:val="auto"/>
          <w:highlight w:val="none"/>
        </w:rPr>
        <w:t>《市政工程投资估算指标》建标[2007]163号；</w:t>
      </w:r>
    </w:p>
    <w:p>
      <w:pPr>
        <w:spacing w:line="360" w:lineRule="auto"/>
        <w:jc w:val="left"/>
        <w:rPr>
          <w:rFonts w:ascii="宋体" w:hAnsi="宋体"/>
          <w:color w:val="auto"/>
          <w:highlight w:val="none"/>
        </w:rPr>
      </w:pPr>
      <w:r>
        <w:rPr>
          <w:rFonts w:hint="eastAsia" w:ascii="宋体" w:hAnsi="宋体"/>
          <w:color w:val="auto"/>
          <w:highlight w:val="none"/>
        </w:rPr>
        <w:t>各项费用计算公式见下表：</w:t>
      </w:r>
    </w:p>
    <w:p>
      <w:pPr>
        <w:spacing w:line="360" w:lineRule="auto"/>
        <w:ind w:firstLine="560" w:firstLineChars="200"/>
        <w:jc w:val="center"/>
        <w:rPr>
          <w:rFonts w:ascii="宋体" w:hAnsi="宋体"/>
          <w:color w:val="auto"/>
          <w:highlight w:val="none"/>
        </w:rPr>
      </w:pPr>
      <w:r>
        <w:rPr>
          <w:rFonts w:hint="eastAsia" w:ascii="宋体" w:hAnsi="宋体"/>
          <w:color w:val="auto"/>
          <w:highlight w:val="none"/>
        </w:rPr>
        <w:t>工程建设其他费用费率表</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060"/>
        <w:gridCol w:w="2323"/>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序号</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费用名称</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计算公式</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1</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建设单位管理费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插值法</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财政部财建【2002】394号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2</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监理费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插值法</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发改价格[2007]670号《建设工程监理与相关服务收费》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3</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设计费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ind w:firstLine="735" w:firstLineChars="350"/>
              <w:rPr>
                <w:color w:val="auto"/>
                <w:sz w:val="21"/>
                <w:szCs w:val="21"/>
                <w:highlight w:val="none"/>
              </w:rPr>
            </w:pPr>
            <w:r>
              <w:rPr>
                <w:rFonts w:hint="eastAsia"/>
                <w:color w:val="auto"/>
                <w:sz w:val="21"/>
                <w:szCs w:val="21"/>
                <w:highlight w:val="none"/>
              </w:rPr>
              <w:t>插值法</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《工程勘察设计收费标准》（2002修订本）</w:t>
            </w:r>
          </w:p>
          <w:p>
            <w:pPr>
              <w:spacing w:line="360" w:lineRule="auto"/>
              <w:jc w:val="center"/>
              <w:rPr>
                <w:color w:val="auto"/>
                <w:sz w:val="21"/>
                <w:szCs w:val="21"/>
                <w:highlight w:val="none"/>
              </w:rPr>
            </w:pPr>
            <w:r>
              <w:rPr>
                <w:rFonts w:hint="eastAsia"/>
                <w:color w:val="auto"/>
                <w:sz w:val="21"/>
                <w:szCs w:val="21"/>
                <w:highlight w:val="none"/>
              </w:rPr>
              <w:t>计价格[2002]10号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4</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工程保险费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工程费用×0.3%</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5</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生产职工培训费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定员×0.6×12X</w:t>
            </w:r>
          </w:p>
          <w:p>
            <w:pPr>
              <w:spacing w:line="360" w:lineRule="auto"/>
              <w:jc w:val="center"/>
              <w:rPr>
                <w:color w:val="auto"/>
                <w:sz w:val="21"/>
                <w:szCs w:val="21"/>
                <w:highlight w:val="none"/>
              </w:rPr>
            </w:pPr>
            <w:r>
              <w:rPr>
                <w:rFonts w:hint="eastAsia"/>
                <w:color w:val="auto"/>
                <w:sz w:val="21"/>
                <w:szCs w:val="21"/>
                <w:highlight w:val="none"/>
              </w:rPr>
              <w:t>元/月人</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6</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办公及生活家具</w:t>
            </w:r>
          </w:p>
          <w:p>
            <w:pPr>
              <w:spacing w:line="360" w:lineRule="auto"/>
              <w:jc w:val="center"/>
              <w:rPr>
                <w:color w:val="auto"/>
                <w:sz w:val="21"/>
                <w:szCs w:val="21"/>
                <w:highlight w:val="none"/>
              </w:rPr>
            </w:pPr>
            <w:r>
              <w:rPr>
                <w:rFonts w:hint="eastAsia"/>
                <w:color w:val="auto"/>
                <w:sz w:val="21"/>
                <w:szCs w:val="21"/>
                <w:highlight w:val="none"/>
              </w:rPr>
              <w:t>购置费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定员×2000</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7</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招投标费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工程费用×0.35%</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国家计委计价格[2002]1980号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8</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环保评价费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工程费用×0.3%</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国家计委、国家环保总局计价格『2002』125号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9</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勘察费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工程费用×1.1%</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10</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联合试运转费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(设备费+安装费)×1.5%</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11</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施工图预算编制费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设计费X10%</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12</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竣工图编制费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设计费X8%</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13</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劳动安全卫生评审费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I×0.3%</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14</w:t>
            </w: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场地准备及临时设施费</w:t>
            </w:r>
          </w:p>
        </w:tc>
        <w:tc>
          <w:tcPr>
            <w:tcW w:w="23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r>
              <w:rPr>
                <w:rFonts w:hint="eastAsia"/>
                <w:color w:val="auto"/>
                <w:sz w:val="21"/>
                <w:szCs w:val="21"/>
                <w:highlight w:val="none"/>
              </w:rPr>
              <w:t>I×0.7%</w:t>
            </w:r>
          </w:p>
        </w:tc>
        <w:tc>
          <w:tcPr>
            <w:tcW w:w="21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pacing w:line="360" w:lineRule="auto"/>
              <w:jc w:val="center"/>
              <w:rPr>
                <w:color w:val="auto"/>
                <w:sz w:val="21"/>
                <w:szCs w:val="21"/>
                <w:highlight w:val="none"/>
              </w:rPr>
            </w:pPr>
            <w:r>
              <w:rPr>
                <w:rFonts w:hint="eastAsia"/>
                <w:color w:val="auto"/>
                <w:sz w:val="21"/>
                <w:szCs w:val="21"/>
                <w:highlight w:val="none"/>
              </w:rPr>
              <w:t>15</w:t>
            </w:r>
          </w:p>
        </w:tc>
        <w:tc>
          <w:tcPr>
            <w:tcW w:w="3060" w:type="dxa"/>
            <w:vAlign w:val="center"/>
          </w:tcPr>
          <w:p>
            <w:pPr>
              <w:spacing w:line="360" w:lineRule="auto"/>
              <w:jc w:val="center"/>
              <w:rPr>
                <w:color w:val="auto"/>
                <w:sz w:val="21"/>
                <w:szCs w:val="21"/>
                <w:highlight w:val="none"/>
              </w:rPr>
            </w:pPr>
            <w:r>
              <w:rPr>
                <w:rFonts w:hint="eastAsia"/>
                <w:color w:val="auto"/>
                <w:sz w:val="21"/>
                <w:szCs w:val="21"/>
                <w:highlight w:val="none"/>
              </w:rPr>
              <w:t>工程质量监督费</w:t>
            </w:r>
          </w:p>
        </w:tc>
        <w:tc>
          <w:tcPr>
            <w:tcW w:w="2323" w:type="dxa"/>
            <w:vAlign w:val="center"/>
          </w:tcPr>
          <w:p>
            <w:pPr>
              <w:spacing w:line="360" w:lineRule="auto"/>
              <w:jc w:val="center"/>
              <w:rPr>
                <w:color w:val="auto"/>
                <w:sz w:val="21"/>
                <w:szCs w:val="21"/>
                <w:highlight w:val="none"/>
              </w:rPr>
            </w:pPr>
            <w:r>
              <w:rPr>
                <w:rFonts w:hint="eastAsia"/>
                <w:color w:val="auto"/>
                <w:sz w:val="21"/>
                <w:szCs w:val="21"/>
                <w:highlight w:val="none"/>
              </w:rPr>
              <w:t>工程费用X0.2%</w:t>
            </w:r>
          </w:p>
        </w:tc>
        <w:tc>
          <w:tcPr>
            <w:tcW w:w="2131" w:type="dxa"/>
            <w:vAlign w:val="center"/>
          </w:tcPr>
          <w:p>
            <w:pPr>
              <w:spacing w:line="360" w:lineRule="auto"/>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pacing w:line="360" w:lineRule="auto"/>
              <w:jc w:val="center"/>
              <w:rPr>
                <w:color w:val="auto"/>
                <w:sz w:val="21"/>
                <w:szCs w:val="21"/>
                <w:highlight w:val="none"/>
              </w:rPr>
            </w:pPr>
            <w:r>
              <w:rPr>
                <w:rFonts w:hint="eastAsia"/>
                <w:color w:val="auto"/>
                <w:sz w:val="21"/>
                <w:szCs w:val="21"/>
                <w:highlight w:val="none"/>
              </w:rPr>
              <w:t>16</w:t>
            </w:r>
          </w:p>
        </w:tc>
        <w:tc>
          <w:tcPr>
            <w:tcW w:w="3060" w:type="dxa"/>
            <w:vAlign w:val="center"/>
          </w:tcPr>
          <w:p>
            <w:pPr>
              <w:spacing w:line="360" w:lineRule="auto"/>
              <w:jc w:val="center"/>
              <w:rPr>
                <w:color w:val="auto"/>
                <w:sz w:val="21"/>
                <w:szCs w:val="21"/>
                <w:highlight w:val="none"/>
              </w:rPr>
            </w:pPr>
            <w:r>
              <w:rPr>
                <w:rFonts w:hint="eastAsia"/>
                <w:color w:val="auto"/>
                <w:sz w:val="21"/>
                <w:szCs w:val="21"/>
                <w:highlight w:val="none"/>
              </w:rPr>
              <w:t>建设项目前期费用</w:t>
            </w:r>
          </w:p>
        </w:tc>
        <w:tc>
          <w:tcPr>
            <w:tcW w:w="2323" w:type="dxa"/>
            <w:vAlign w:val="center"/>
          </w:tcPr>
          <w:p>
            <w:pPr>
              <w:spacing w:line="360" w:lineRule="auto"/>
              <w:jc w:val="center"/>
              <w:rPr>
                <w:color w:val="auto"/>
                <w:sz w:val="21"/>
                <w:szCs w:val="21"/>
                <w:highlight w:val="none"/>
              </w:rPr>
            </w:pPr>
          </w:p>
        </w:tc>
        <w:tc>
          <w:tcPr>
            <w:tcW w:w="2131" w:type="dxa"/>
            <w:vAlign w:val="center"/>
          </w:tcPr>
          <w:p>
            <w:pPr>
              <w:spacing w:line="360" w:lineRule="auto"/>
              <w:jc w:val="center"/>
              <w:rPr>
                <w:color w:val="auto"/>
                <w:sz w:val="21"/>
                <w:szCs w:val="21"/>
                <w:highlight w:val="none"/>
              </w:rPr>
            </w:pPr>
            <w:r>
              <w:rPr>
                <w:color w:val="auto"/>
                <w:kern w:val="0"/>
                <w:sz w:val="21"/>
                <w:szCs w:val="21"/>
                <w:highlight w:val="none"/>
              </w:rPr>
              <w:t>国家计委，计</w:t>
            </w:r>
            <w:r>
              <w:rPr>
                <w:rFonts w:hint="eastAsia"/>
                <w:color w:val="auto"/>
                <w:kern w:val="0"/>
                <w:sz w:val="21"/>
                <w:szCs w:val="21"/>
                <w:highlight w:val="none"/>
              </w:rPr>
              <w:t>价</w:t>
            </w:r>
            <w:r>
              <w:rPr>
                <w:rFonts w:ascii="Times" w:hAnsi="Times" w:cs="Times"/>
                <w:color w:val="auto"/>
                <w:kern w:val="0"/>
                <w:sz w:val="21"/>
                <w:szCs w:val="21"/>
                <w:highlight w:val="none"/>
              </w:rPr>
              <w:t>[1999]1283</w:t>
            </w:r>
            <w:r>
              <w:rPr>
                <w:rFonts w:ascii="Times" w:hAnsi="Times" w:cs="Times"/>
                <w:color w:val="auto"/>
                <w:kern w:val="0"/>
                <w:sz w:val="21"/>
                <w:szCs w:val="21"/>
                <w:highlight w:val="none"/>
              </w:rPr>
              <w:tab/>
            </w:r>
            <w:r>
              <w:rPr>
                <w:color w:val="auto"/>
                <w:kern w:val="0"/>
                <w:sz w:val="21"/>
                <w:szCs w:val="21"/>
                <w:highlight w:val="none"/>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pacing w:line="360" w:lineRule="auto"/>
              <w:jc w:val="center"/>
              <w:rPr>
                <w:rFonts w:ascii="宋体" w:hAnsi="宋体"/>
                <w:color w:val="auto"/>
                <w:sz w:val="21"/>
                <w:szCs w:val="21"/>
                <w:highlight w:val="none"/>
              </w:rPr>
            </w:pPr>
            <w:r>
              <w:rPr>
                <w:rFonts w:hint="eastAsia" w:ascii="宋体" w:hAnsi="宋体"/>
                <w:color w:val="auto"/>
                <w:sz w:val="21"/>
                <w:szCs w:val="21"/>
                <w:highlight w:val="none"/>
              </w:rPr>
              <w:t>17</w:t>
            </w:r>
          </w:p>
        </w:tc>
        <w:tc>
          <w:tcPr>
            <w:tcW w:w="3060" w:type="dxa"/>
            <w:vAlign w:val="center"/>
          </w:tcPr>
          <w:p>
            <w:pPr>
              <w:spacing w:line="360" w:lineRule="auto"/>
              <w:jc w:val="center"/>
              <w:rPr>
                <w:rFonts w:ascii="宋体" w:hAnsi="宋体"/>
                <w:color w:val="auto"/>
                <w:sz w:val="21"/>
                <w:szCs w:val="21"/>
                <w:highlight w:val="none"/>
              </w:rPr>
            </w:pPr>
            <w:r>
              <w:rPr>
                <w:rFonts w:hint="eastAsia" w:ascii="宋体" w:hAnsi="宋体"/>
                <w:color w:val="auto"/>
                <w:sz w:val="21"/>
                <w:szCs w:val="21"/>
                <w:highlight w:val="none"/>
              </w:rPr>
              <w:t>土地费用</w:t>
            </w:r>
          </w:p>
        </w:tc>
        <w:tc>
          <w:tcPr>
            <w:tcW w:w="2323" w:type="dxa"/>
            <w:vAlign w:val="center"/>
          </w:tcPr>
          <w:p>
            <w:pPr>
              <w:spacing w:line="360" w:lineRule="auto"/>
              <w:jc w:val="center"/>
              <w:rPr>
                <w:rFonts w:ascii="宋体" w:hAnsi="宋体"/>
                <w:color w:val="auto"/>
                <w:sz w:val="21"/>
                <w:szCs w:val="21"/>
                <w:highlight w:val="none"/>
              </w:rPr>
            </w:pPr>
          </w:p>
        </w:tc>
        <w:tc>
          <w:tcPr>
            <w:tcW w:w="2131" w:type="dxa"/>
            <w:vAlign w:val="center"/>
          </w:tcPr>
          <w:p>
            <w:pPr>
              <w:spacing w:line="360" w:lineRule="auto"/>
              <w:jc w:val="center"/>
              <w:rPr>
                <w:rFonts w:ascii="宋体" w:hAnsi="宋体"/>
                <w:color w:val="auto"/>
                <w:kern w:val="0"/>
                <w:sz w:val="21"/>
                <w:szCs w:val="21"/>
                <w:highlight w:val="none"/>
              </w:rPr>
            </w:pPr>
            <w:r>
              <w:rPr>
                <w:rFonts w:hint="eastAsia" w:ascii="宋体" w:hAnsi="宋体"/>
                <w:color w:val="auto"/>
                <w:kern w:val="0"/>
                <w:sz w:val="21"/>
                <w:szCs w:val="21"/>
                <w:highlight w:val="none"/>
              </w:rPr>
              <w:t>广东省征地补偿保护标准（2010年修订</w:t>
            </w:r>
          </w:p>
          <w:p>
            <w:pPr>
              <w:spacing w:line="360" w:lineRule="auto"/>
              <w:jc w:val="center"/>
              <w:rPr>
                <w:rFonts w:ascii="宋体" w:hAnsi="宋体"/>
                <w:color w:val="auto"/>
                <w:kern w:val="0"/>
                <w:sz w:val="21"/>
                <w:szCs w:val="21"/>
                <w:highlight w:val="none"/>
              </w:rPr>
            </w:pPr>
            <w:r>
              <w:rPr>
                <w:rFonts w:hint="eastAsia" w:ascii="宋体" w:hAnsi="宋体"/>
                <w:color w:val="auto"/>
                <w:kern w:val="0"/>
                <w:sz w:val="21"/>
                <w:szCs w:val="21"/>
                <w:highlight w:val="none"/>
              </w:rPr>
              <w:t>调整）</w:t>
            </w:r>
          </w:p>
        </w:tc>
      </w:tr>
    </w:tbl>
    <w:p>
      <w:pPr>
        <w:spacing w:line="360" w:lineRule="auto"/>
        <w:jc w:val="left"/>
        <w:rPr>
          <w:rFonts w:ascii="宋体" w:hAnsi="宋体"/>
          <w:color w:val="auto"/>
          <w:highlight w:val="none"/>
        </w:rPr>
      </w:pPr>
      <w:r>
        <w:rPr>
          <w:rFonts w:hint="eastAsia" w:ascii="宋体" w:hAnsi="宋体"/>
          <w:color w:val="auto"/>
          <w:highlight w:val="none"/>
        </w:rPr>
        <w:t xml:space="preserve">   （八）本项目土地费用79万元，征地费用按建设单位提供的广东省征地补偿保护标准（2010年修订调整）进行计算。</w:t>
      </w:r>
    </w:p>
    <w:p>
      <w:pPr>
        <w:spacing w:line="360" w:lineRule="auto"/>
        <w:ind w:firstLine="560" w:firstLineChars="200"/>
        <w:rPr>
          <w:rFonts w:ascii="宋体" w:hAnsi="宋体"/>
          <w:color w:val="auto"/>
          <w:highlight w:val="none"/>
        </w:rPr>
      </w:pPr>
      <w:r>
        <w:rPr>
          <w:rFonts w:cs="Times New Roman"/>
          <w:color w:val="auto"/>
          <w:kern w:val="0"/>
          <w:szCs w:val="28"/>
          <w:highlight w:val="none"/>
          <w:shd w:val="clear" w:color="auto" w:fill="FFFFFF"/>
        </w:rPr>
        <w:t>初始建设成本（a）</w:t>
      </w:r>
      <w:r>
        <w:rPr>
          <w:rFonts w:hint="eastAsia" w:ascii="宋体" w:hAnsi="宋体"/>
          <w:color w:val="auto"/>
          <w:highlight w:val="none"/>
        </w:rPr>
        <w:t>为7964.6万元。</w:t>
      </w:r>
    </w:p>
    <w:p>
      <w:pPr>
        <w:spacing w:line="360" w:lineRule="auto"/>
        <w:rPr>
          <w:rFonts w:ascii="宋体" w:hAnsi="宋体"/>
          <w:color w:val="auto"/>
          <w:highlight w:val="none"/>
        </w:rPr>
      </w:pPr>
      <w:r>
        <w:rPr>
          <w:rFonts w:hint="eastAsia" w:cs="Times New Roman"/>
          <w:color w:val="auto"/>
          <w:kern w:val="0"/>
          <w:szCs w:val="28"/>
          <w:highlight w:val="none"/>
          <w:shd w:val="clear" w:color="auto" w:fill="FFFFFF"/>
        </w:rPr>
        <w:t>2.1.2</w:t>
      </w:r>
      <w:r>
        <w:rPr>
          <w:rFonts w:cs="Times New Roman"/>
          <w:color w:val="auto"/>
          <w:kern w:val="0"/>
          <w:szCs w:val="28"/>
          <w:highlight w:val="none"/>
          <w:shd w:val="clear" w:color="auto" w:fill="FFFFFF"/>
        </w:rPr>
        <w:t>项目运行成本（b折现）</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本工程</w:t>
      </w:r>
      <w:r>
        <w:rPr>
          <w:rFonts w:hint="eastAsia" w:ascii="宋体" w:hAnsi="宋体"/>
          <w:color w:val="auto"/>
          <w:highlight w:val="none"/>
        </w:rPr>
        <w:t>气源:2017年~2025年为</w:t>
      </w:r>
      <w:r>
        <w:rPr>
          <w:rFonts w:ascii="宋体" w:hAnsi="宋体"/>
          <w:color w:val="auto"/>
          <w:highlight w:val="none"/>
        </w:rPr>
        <w:t>液化天然气</w:t>
      </w:r>
      <w:r>
        <w:rPr>
          <w:rFonts w:hint="eastAsia" w:ascii="宋体" w:hAnsi="宋体"/>
          <w:color w:val="auto"/>
          <w:highlight w:val="none"/>
        </w:rPr>
        <w:t>，2025年以后为管道天然气。</w:t>
      </w:r>
    </w:p>
    <w:p>
      <w:pPr>
        <w:autoSpaceDE w:val="0"/>
        <w:autoSpaceDN w:val="0"/>
        <w:adjustRightInd w:val="0"/>
        <w:spacing w:line="360" w:lineRule="auto"/>
        <w:ind w:firstLine="560" w:firstLineChars="200"/>
        <w:jc w:val="center"/>
        <w:rPr>
          <w:rFonts w:ascii="宋体" w:hAnsi="宋体"/>
          <w:color w:val="auto"/>
          <w:highlight w:val="none"/>
        </w:rPr>
      </w:pPr>
      <w:r>
        <w:rPr>
          <w:rFonts w:hint="eastAsia" w:ascii="宋体" w:hAnsi="宋体"/>
          <w:color w:val="auto"/>
          <w:highlight w:val="none"/>
        </w:rPr>
        <w:t>成本费用基础数据</w:t>
      </w:r>
    </w:p>
    <w:tbl>
      <w:tblPr>
        <w:tblStyle w:val="26"/>
        <w:tblW w:w="8755"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64"/>
        <w:gridCol w:w="2338"/>
        <w:gridCol w:w="2251"/>
        <w:gridCol w:w="1701"/>
        <w:gridCol w:w="17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8"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序号</w:t>
            </w:r>
          </w:p>
        </w:tc>
        <w:tc>
          <w:tcPr>
            <w:tcW w:w="2338" w:type="dxa"/>
            <w:tcBorders>
              <w:top w:val="single" w:color="auto" w:sz="8"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项目</w:t>
            </w:r>
          </w:p>
        </w:tc>
        <w:tc>
          <w:tcPr>
            <w:tcW w:w="2251" w:type="dxa"/>
            <w:tcBorders>
              <w:top w:val="single" w:color="auto" w:sz="8"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8"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8"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1</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液化天然气</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数量(万立方米)</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3293.7</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价格（元/立方米）</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含税3.4</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管道天然气</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数量(万立方米)</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3293.7</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价格（元/立方米）</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含税2.9</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2</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水</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数量(万吨)</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1</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价格(元/吨)</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3</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3</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电</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数量(万度)</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65</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价格(元/度)</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1</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4</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人员工资及福利费</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人数</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50</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年工资及福利费万元/年</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11</w:t>
            </w: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5</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固定资产折旧</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平均年限法,20年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6</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其它资产摊销</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5年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7</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修理费用</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取折旧费50%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8</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其它营业费用</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销售收入的0.8%</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9</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营运费用</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销售收入的2%</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tcBorders>
              <w:top w:val="single" w:color="auto" w:sz="4" w:space="0"/>
              <w:left w:val="single" w:color="auto" w:sz="8"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10</w:t>
            </w:r>
          </w:p>
        </w:tc>
        <w:tc>
          <w:tcPr>
            <w:tcW w:w="2338"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其它费用</w:t>
            </w:r>
          </w:p>
        </w:tc>
        <w:tc>
          <w:tcPr>
            <w:tcW w:w="225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Theme="minorEastAsia" w:hAnsiTheme="minorEastAsia" w:eastAsiaTheme="minorEastAsia"/>
                <w:color w:val="auto"/>
                <w:sz w:val="21"/>
                <w:szCs w:val="21"/>
                <w:highlight w:val="none"/>
              </w:rPr>
            </w:pPr>
          </w:p>
        </w:tc>
        <w:tc>
          <w:tcPr>
            <w:tcW w:w="1701" w:type="dxa"/>
            <w:tcBorders>
              <w:top w:val="single" w:color="auto" w:sz="4" w:space="0"/>
              <w:left w:val="single" w:color="auto" w:sz="4" w:space="0"/>
              <w:bottom w:val="single" w:color="auto" w:sz="4" w:space="0"/>
              <w:right w:val="single" w:color="auto" w:sz="8" w:space="0"/>
            </w:tcBorders>
            <w:vAlign w:val="center"/>
          </w:tcPr>
          <w:p>
            <w:pPr>
              <w:spacing w:line="400" w:lineRule="atLeast"/>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年工资及福利费的70%</w:t>
            </w:r>
          </w:p>
        </w:tc>
      </w:tr>
    </w:tbl>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（1）液化天然气购入价格：</w:t>
      </w:r>
      <w:r>
        <w:rPr>
          <w:rFonts w:hint="eastAsia" w:ascii="宋体" w:hAnsi="宋体"/>
          <w:color w:val="auto"/>
          <w:highlight w:val="none"/>
        </w:rPr>
        <w:t>3.4</w:t>
      </w:r>
      <w:r>
        <w:rPr>
          <w:rFonts w:ascii="宋体" w:hAnsi="宋体"/>
          <w:color w:val="auto"/>
          <w:highlight w:val="none"/>
        </w:rPr>
        <w:t>元/立方米(到站价</w:t>
      </w:r>
      <w:r>
        <w:rPr>
          <w:rFonts w:hint="eastAsia" w:ascii="宋体" w:hAnsi="宋体"/>
          <w:color w:val="auto"/>
          <w:highlight w:val="none"/>
        </w:rPr>
        <w:t>含税</w:t>
      </w:r>
      <w:r>
        <w:rPr>
          <w:rFonts w:ascii="宋体" w:hAnsi="宋体"/>
          <w:color w:val="auto"/>
          <w:highlight w:val="none"/>
        </w:rPr>
        <w:t>)；</w:t>
      </w:r>
    </w:p>
    <w:p>
      <w:pPr>
        <w:autoSpaceDE w:val="0"/>
        <w:autoSpaceDN w:val="0"/>
        <w:adjustRightInd w:val="0"/>
        <w:spacing w:line="360" w:lineRule="auto"/>
        <w:ind w:firstLine="1260" w:firstLineChars="450"/>
        <w:jc w:val="left"/>
        <w:rPr>
          <w:rFonts w:ascii="宋体" w:hAnsi="宋体"/>
          <w:color w:val="auto"/>
          <w:highlight w:val="none"/>
        </w:rPr>
      </w:pPr>
      <w:r>
        <w:rPr>
          <w:rFonts w:hint="eastAsia" w:ascii="宋体" w:hAnsi="宋体"/>
          <w:color w:val="auto"/>
          <w:highlight w:val="none"/>
        </w:rPr>
        <w:t>管道天然气：2.9元/立方米（含税价）</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w:t>
      </w:r>
      <w:r>
        <w:rPr>
          <w:rFonts w:hint="eastAsia" w:ascii="宋体" w:hAnsi="宋体"/>
          <w:color w:val="auto"/>
          <w:highlight w:val="none"/>
        </w:rPr>
        <w:t>2</w:t>
      </w:r>
      <w:r>
        <w:rPr>
          <w:rFonts w:ascii="宋体" w:hAnsi="宋体"/>
          <w:color w:val="auto"/>
          <w:highlight w:val="none"/>
        </w:rPr>
        <w:t>）水价为</w:t>
      </w:r>
      <w:r>
        <w:rPr>
          <w:rFonts w:hint="eastAsia" w:ascii="宋体" w:hAnsi="宋体"/>
          <w:color w:val="auto"/>
          <w:highlight w:val="none"/>
        </w:rPr>
        <w:t>3</w:t>
      </w:r>
      <w:r>
        <w:rPr>
          <w:rFonts w:ascii="宋体" w:hAnsi="宋体"/>
          <w:color w:val="auto"/>
          <w:highlight w:val="none"/>
        </w:rPr>
        <w:t>元/吨，电价为</w:t>
      </w:r>
      <w:r>
        <w:rPr>
          <w:rFonts w:hint="eastAsia" w:ascii="宋体" w:hAnsi="宋体"/>
          <w:color w:val="auto"/>
          <w:highlight w:val="none"/>
        </w:rPr>
        <w:t>1</w:t>
      </w:r>
      <w:r>
        <w:rPr>
          <w:rFonts w:ascii="宋体" w:hAnsi="宋体"/>
          <w:color w:val="auto"/>
          <w:highlight w:val="none"/>
        </w:rPr>
        <w:t>元/度(</w:t>
      </w:r>
      <w:r>
        <w:rPr>
          <w:rFonts w:hint="eastAsia" w:ascii="宋体" w:hAnsi="宋体"/>
          <w:color w:val="auto"/>
          <w:highlight w:val="none"/>
        </w:rPr>
        <w:t>含</w:t>
      </w:r>
      <w:r>
        <w:rPr>
          <w:rFonts w:ascii="宋体" w:hAnsi="宋体"/>
          <w:color w:val="auto"/>
          <w:highlight w:val="none"/>
        </w:rPr>
        <w:t>税价格)；</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 xml:space="preserve">     达产年用水</w:t>
      </w:r>
      <w:r>
        <w:rPr>
          <w:rFonts w:hint="eastAsia" w:ascii="宋体" w:hAnsi="宋体"/>
          <w:color w:val="auto"/>
          <w:highlight w:val="none"/>
        </w:rPr>
        <w:t>10000</w:t>
      </w:r>
      <w:r>
        <w:rPr>
          <w:rFonts w:ascii="宋体" w:hAnsi="宋体"/>
          <w:color w:val="auto"/>
          <w:highlight w:val="none"/>
        </w:rPr>
        <w:t>吨，用电</w:t>
      </w:r>
      <w:r>
        <w:rPr>
          <w:rFonts w:hint="eastAsia" w:ascii="宋体" w:hAnsi="宋体"/>
          <w:color w:val="auto"/>
          <w:highlight w:val="none"/>
        </w:rPr>
        <w:t>65</w:t>
      </w:r>
      <w:r>
        <w:rPr>
          <w:rFonts w:ascii="宋体" w:hAnsi="宋体"/>
          <w:color w:val="auto"/>
          <w:highlight w:val="none"/>
        </w:rPr>
        <w:t>万度；</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w:t>
      </w:r>
      <w:r>
        <w:rPr>
          <w:rFonts w:hint="eastAsia" w:ascii="宋体" w:hAnsi="宋体"/>
          <w:color w:val="auto"/>
          <w:highlight w:val="none"/>
        </w:rPr>
        <w:t>3</w:t>
      </w:r>
      <w:r>
        <w:rPr>
          <w:rFonts w:ascii="宋体" w:hAnsi="宋体"/>
          <w:color w:val="auto"/>
          <w:highlight w:val="none"/>
        </w:rPr>
        <w:t>）平均年工资及福利费为</w:t>
      </w:r>
      <w:r>
        <w:rPr>
          <w:rFonts w:hint="eastAsia" w:ascii="宋体" w:hAnsi="宋体"/>
          <w:color w:val="auto"/>
          <w:highlight w:val="none"/>
        </w:rPr>
        <w:t>11</w:t>
      </w:r>
      <w:r>
        <w:rPr>
          <w:rFonts w:ascii="宋体" w:hAnsi="宋体"/>
          <w:color w:val="auto"/>
          <w:highlight w:val="none"/>
        </w:rPr>
        <w:t>万元/人·年(达产年)；</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 xml:space="preserve">     </w:t>
      </w:r>
      <w:r>
        <w:rPr>
          <w:rFonts w:hint="eastAsia" w:ascii="宋体" w:hAnsi="宋体"/>
          <w:color w:val="auto"/>
          <w:highlight w:val="none"/>
        </w:rPr>
        <w:t>项目</w:t>
      </w:r>
      <w:r>
        <w:rPr>
          <w:rFonts w:ascii="宋体" w:hAnsi="宋体"/>
          <w:color w:val="auto"/>
          <w:highlight w:val="none"/>
        </w:rPr>
        <w:t>人员编制为</w:t>
      </w:r>
      <w:r>
        <w:rPr>
          <w:rFonts w:hint="eastAsia" w:ascii="宋体" w:hAnsi="宋体"/>
          <w:color w:val="auto"/>
          <w:highlight w:val="none"/>
        </w:rPr>
        <w:t>50人。</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w:t>
      </w:r>
      <w:r>
        <w:rPr>
          <w:rFonts w:hint="eastAsia" w:ascii="宋体" w:hAnsi="宋体"/>
          <w:color w:val="auto"/>
          <w:highlight w:val="none"/>
        </w:rPr>
        <w:t>4</w:t>
      </w:r>
      <w:r>
        <w:rPr>
          <w:rFonts w:ascii="宋体" w:hAnsi="宋体"/>
          <w:color w:val="auto"/>
          <w:highlight w:val="none"/>
        </w:rPr>
        <w:t>）无形资产及其它资产摊销</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 xml:space="preserve">     按</w:t>
      </w:r>
      <w:r>
        <w:rPr>
          <w:rFonts w:hint="eastAsia" w:ascii="宋体" w:hAnsi="宋体"/>
          <w:color w:val="auto"/>
          <w:highlight w:val="none"/>
        </w:rPr>
        <w:t>5</w:t>
      </w:r>
      <w:r>
        <w:rPr>
          <w:rFonts w:ascii="宋体" w:hAnsi="宋体"/>
          <w:color w:val="auto"/>
          <w:highlight w:val="none"/>
        </w:rPr>
        <w:t>年摊销。</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w:t>
      </w:r>
      <w:r>
        <w:rPr>
          <w:rFonts w:hint="eastAsia" w:ascii="宋体" w:hAnsi="宋体"/>
          <w:color w:val="auto"/>
          <w:highlight w:val="none"/>
        </w:rPr>
        <w:t>5</w:t>
      </w:r>
      <w:r>
        <w:rPr>
          <w:rFonts w:ascii="宋体" w:hAnsi="宋体"/>
          <w:color w:val="auto"/>
          <w:highlight w:val="none"/>
        </w:rPr>
        <w:t>）修理费估算</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 xml:space="preserve">     本项目修理费按折旧费的50%计算；</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w:t>
      </w:r>
      <w:r>
        <w:rPr>
          <w:rFonts w:hint="eastAsia" w:ascii="宋体" w:hAnsi="宋体"/>
          <w:color w:val="auto"/>
          <w:highlight w:val="none"/>
        </w:rPr>
        <w:t>6</w:t>
      </w:r>
      <w:r>
        <w:rPr>
          <w:rFonts w:ascii="宋体" w:hAnsi="宋体"/>
          <w:color w:val="auto"/>
          <w:highlight w:val="none"/>
        </w:rPr>
        <w:t>）其它费用估算为简化计算,该项费用按工资及福利费的</w:t>
      </w:r>
      <w:r>
        <w:rPr>
          <w:rFonts w:hint="eastAsia" w:ascii="宋体" w:hAnsi="宋体"/>
          <w:color w:val="auto"/>
          <w:highlight w:val="none"/>
        </w:rPr>
        <w:t>7</w:t>
      </w:r>
      <w:r>
        <w:rPr>
          <w:rFonts w:ascii="宋体" w:hAnsi="宋体"/>
          <w:color w:val="auto"/>
          <w:highlight w:val="none"/>
        </w:rPr>
        <w:t>0%计算</w:t>
      </w:r>
      <w:r>
        <w:rPr>
          <w:rFonts w:hint="eastAsia" w:ascii="宋体" w:hAnsi="宋体"/>
          <w:color w:val="auto"/>
          <w:highlight w:val="none"/>
        </w:rPr>
        <w:t>。</w:t>
      </w:r>
    </w:p>
    <w:p>
      <w:pPr>
        <w:autoSpaceDE w:val="0"/>
        <w:autoSpaceDN w:val="0"/>
        <w:adjustRightInd w:val="0"/>
        <w:spacing w:line="360" w:lineRule="auto"/>
        <w:ind w:firstLine="560" w:firstLineChars="200"/>
        <w:jc w:val="left"/>
        <w:rPr>
          <w:rFonts w:ascii="宋体" w:hAnsi="宋体"/>
          <w:color w:val="auto"/>
          <w:highlight w:val="none"/>
        </w:rPr>
      </w:pPr>
      <w:r>
        <w:rPr>
          <w:rFonts w:cs="Times New Roman"/>
          <w:color w:val="auto"/>
          <w:kern w:val="0"/>
          <w:szCs w:val="28"/>
          <w:highlight w:val="none"/>
          <w:shd w:val="clear" w:color="auto" w:fill="FFFFFF"/>
        </w:rPr>
        <w:t>项目运行成本（b折现）为</w:t>
      </w:r>
      <w:r>
        <w:rPr>
          <w:rFonts w:hint="eastAsia" w:cs="Times New Roman"/>
          <w:color w:val="auto"/>
          <w:kern w:val="0"/>
          <w:szCs w:val="28"/>
          <w:highlight w:val="none"/>
          <w:shd w:val="clear" w:color="auto" w:fill="FFFFFF"/>
        </w:rPr>
        <w:t>11181万元</w:t>
      </w:r>
    </w:p>
    <w:p>
      <w:pPr>
        <w:autoSpaceDE w:val="0"/>
        <w:autoSpaceDN w:val="0"/>
        <w:adjustRightInd w:val="0"/>
        <w:jc w:val="left"/>
        <w:rPr>
          <w:rFonts w:ascii="宋体" w:hAnsi="宋体"/>
          <w:color w:val="auto"/>
          <w:highlight w:val="none"/>
        </w:rPr>
      </w:pPr>
      <w:r>
        <w:rPr>
          <w:rFonts w:hint="eastAsia" w:ascii="宋体" w:hAnsi="宋体"/>
          <w:color w:val="auto"/>
          <w:highlight w:val="none"/>
        </w:rPr>
        <w:t>2</w:t>
      </w:r>
      <w:r>
        <w:rPr>
          <w:rFonts w:ascii="宋体" w:hAnsi="宋体"/>
          <w:color w:val="auto"/>
          <w:highlight w:val="none"/>
        </w:rPr>
        <w:t>.1.3净残值（c）</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工程费用和预备费进入固定资产原值进行折旧,按平均年限法折旧,净残值率为4%。</w:t>
      </w:r>
    </w:p>
    <w:p>
      <w:pPr>
        <w:autoSpaceDE w:val="0"/>
        <w:autoSpaceDN w:val="0"/>
        <w:adjustRightInd w:val="0"/>
        <w:spacing w:line="360" w:lineRule="auto"/>
        <w:ind w:firstLine="560" w:firstLineChars="200"/>
        <w:jc w:val="left"/>
        <w:rPr>
          <w:rFonts w:ascii="宋体" w:hAnsi="宋体"/>
          <w:color w:val="auto"/>
          <w:highlight w:val="none"/>
        </w:rPr>
      </w:pPr>
      <w:r>
        <w:rPr>
          <w:rFonts w:ascii="宋体" w:hAnsi="宋体"/>
          <w:color w:val="auto"/>
          <w:highlight w:val="none"/>
        </w:rPr>
        <w:t>净残值为</w:t>
      </w:r>
      <w:r>
        <w:rPr>
          <w:rFonts w:hint="eastAsia" w:ascii="宋体" w:hAnsi="宋体"/>
          <w:color w:val="auto"/>
          <w:highlight w:val="none"/>
        </w:rPr>
        <w:t>271.4万元</w:t>
      </w:r>
    </w:p>
    <w:p>
      <w:pPr>
        <w:autoSpaceDE w:val="0"/>
        <w:autoSpaceDN w:val="0"/>
        <w:adjustRightInd w:val="0"/>
        <w:jc w:val="left"/>
        <w:rPr>
          <w:rFonts w:ascii="宋体" w:hAnsi="宋体"/>
          <w:color w:val="auto"/>
          <w:highlight w:val="none"/>
        </w:rPr>
      </w:pPr>
      <w:r>
        <w:rPr>
          <w:rFonts w:hint="eastAsia" w:ascii="宋体" w:hAnsi="宋体"/>
          <w:color w:val="auto"/>
          <w:highlight w:val="none"/>
        </w:rPr>
        <w:t>2</w:t>
      </w:r>
      <w:r>
        <w:rPr>
          <w:rFonts w:ascii="宋体" w:hAnsi="宋体"/>
          <w:color w:val="auto"/>
          <w:highlight w:val="none"/>
        </w:rPr>
        <w:t>.1.4全生命周期成本计算结果</w:t>
      </w:r>
    </w:p>
    <w:p>
      <w:pPr>
        <w:autoSpaceDE w:val="0"/>
        <w:autoSpaceDN w:val="0"/>
        <w:adjustRightInd w:val="0"/>
        <w:jc w:val="left"/>
        <w:rPr>
          <w:rFonts w:ascii="宋体" w:hAnsi="宋体"/>
          <w:color w:val="auto"/>
          <w:highlight w:val="none"/>
        </w:rPr>
      </w:pPr>
      <w:r>
        <w:rPr>
          <w:rFonts w:ascii="宋体" w:hAnsi="宋体"/>
          <w:color w:val="auto"/>
          <w:highlight w:val="none"/>
        </w:rPr>
        <w:t>全生命周期中成本的计算公式</w:t>
      </w:r>
      <w:r>
        <w:rPr>
          <w:rFonts w:hint="eastAsia" w:ascii="宋体" w:hAnsi="宋体"/>
          <w:color w:val="auto"/>
          <w:highlight w:val="none"/>
        </w:rPr>
        <w:t>：</w:t>
      </w:r>
    </w:p>
    <w:p>
      <w:pPr>
        <w:autoSpaceDE w:val="0"/>
        <w:autoSpaceDN w:val="0"/>
        <w:adjustRightInd w:val="0"/>
        <w:jc w:val="left"/>
        <w:rPr>
          <w:rFonts w:ascii="宋体" w:hAnsi="宋体"/>
          <w:color w:val="auto"/>
          <w:highlight w:val="none"/>
        </w:rPr>
      </w:pPr>
      <w:r>
        <w:rPr>
          <w:rFonts w:ascii="宋体" w:hAnsi="宋体"/>
          <w:color w:val="auto"/>
          <w:highlight w:val="none"/>
        </w:rPr>
        <w:t>全生命周期成本=建设成本a +运行成本b一净残值c</w:t>
      </w:r>
    </w:p>
    <w:p>
      <w:pPr>
        <w:autoSpaceDE w:val="0"/>
        <w:autoSpaceDN w:val="0"/>
        <w:adjustRightInd w:val="0"/>
        <w:jc w:val="left"/>
        <w:rPr>
          <w:rFonts w:ascii="宋体" w:hAnsi="宋体"/>
          <w:color w:val="auto"/>
          <w:highlight w:val="none"/>
        </w:rPr>
      </w:pPr>
      <w:r>
        <w:rPr>
          <w:rFonts w:ascii="宋体" w:hAnsi="宋体"/>
          <w:color w:val="auto"/>
          <w:highlight w:val="none"/>
        </w:rPr>
        <w:t>         =</w:t>
      </w:r>
      <w:r>
        <w:rPr>
          <w:rFonts w:hint="eastAsia" w:ascii="宋体" w:hAnsi="宋体"/>
          <w:color w:val="auto"/>
          <w:highlight w:val="none"/>
        </w:rPr>
        <w:t>7964.6万元</w:t>
      </w:r>
      <w:r>
        <w:rPr>
          <w:rFonts w:ascii="宋体" w:hAnsi="宋体"/>
          <w:color w:val="auto"/>
          <w:highlight w:val="none"/>
        </w:rPr>
        <w:t>+</w:t>
      </w:r>
      <w:r>
        <w:rPr>
          <w:rFonts w:hint="eastAsia" w:ascii="宋体" w:hAnsi="宋体"/>
          <w:color w:val="auto"/>
          <w:highlight w:val="none"/>
        </w:rPr>
        <w:t>11181.2</w:t>
      </w:r>
      <w:r>
        <w:rPr>
          <w:rFonts w:ascii="宋体" w:hAnsi="宋体"/>
          <w:color w:val="auto"/>
          <w:highlight w:val="none"/>
        </w:rPr>
        <w:t>万元-2</w:t>
      </w:r>
      <w:r>
        <w:rPr>
          <w:rFonts w:hint="eastAsia" w:ascii="宋体" w:hAnsi="宋体"/>
          <w:color w:val="auto"/>
          <w:highlight w:val="none"/>
        </w:rPr>
        <w:t>71.4</w:t>
      </w:r>
      <w:r>
        <w:rPr>
          <w:rFonts w:ascii="宋体" w:hAnsi="宋体"/>
          <w:color w:val="auto"/>
          <w:highlight w:val="none"/>
        </w:rPr>
        <w:t>万元=</w:t>
      </w:r>
      <w:r>
        <w:rPr>
          <w:rFonts w:hint="eastAsia" w:ascii="宋体" w:hAnsi="宋体"/>
          <w:color w:val="auto"/>
          <w:highlight w:val="none"/>
        </w:rPr>
        <w:t>18874.4</w:t>
      </w:r>
      <w:r>
        <w:rPr>
          <w:rFonts w:ascii="宋体" w:hAnsi="宋体"/>
          <w:color w:val="auto"/>
          <w:highlight w:val="none"/>
        </w:rPr>
        <w:t>万元</w:t>
      </w:r>
      <w:r>
        <w:rPr>
          <w:color w:val="auto"/>
          <w:highlight w:val="none"/>
        </w:rPr>
        <w:fldChar w:fldCharType="begin"/>
      </w:r>
      <w:r>
        <w:rPr>
          <w:color w:val="auto"/>
          <w:highlight w:val="none"/>
        </w:rPr>
        <w:instrText xml:space="preserve"> HYPERLINK "http://blog.163.com/keyan_1984/blog/static/1395605512015112654821605/" \o "关闭" </w:instrText>
      </w:r>
      <w:r>
        <w:rPr>
          <w:color w:val="auto"/>
          <w:highlight w:val="none"/>
        </w:rPr>
        <w:fldChar w:fldCharType="separate"/>
      </w:r>
      <w:r>
        <w:rPr>
          <w:color w:val="auto"/>
          <w:highlight w:val="none"/>
        </w:rPr>
        <w:fldChar w:fldCharType="end"/>
      </w:r>
    </w:p>
    <w:p>
      <w:pPr>
        <w:pStyle w:val="3"/>
        <w:rPr>
          <w:color w:val="auto"/>
          <w:highlight w:val="none"/>
        </w:rPr>
      </w:pPr>
      <w:bookmarkStart w:id="15" w:name="_Toc24028"/>
      <w:r>
        <w:rPr>
          <w:rFonts w:hint="eastAsia"/>
          <w:color w:val="auto"/>
          <w:highlight w:val="none"/>
        </w:rPr>
        <w:t>2.2</w:t>
      </w:r>
      <w:r>
        <w:rPr>
          <w:color w:val="auto"/>
          <w:highlight w:val="none"/>
        </w:rPr>
        <w:t>技术路线和工程方案的合理性</w:t>
      </w:r>
      <w:bookmarkEnd w:id="15"/>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2.2.1技术路线</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本项目的技术路线如下：</w:t>
      </w:r>
    </w:p>
    <w:p>
      <w:pPr>
        <w:autoSpaceDE w:val="0"/>
        <w:autoSpaceDN w:val="0"/>
        <w:adjustRightInd w:val="0"/>
        <w:spacing w:beforeLines="0" w:afterLines="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 xml:space="preserve">   </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rPr>
        <w:t>1</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rPr>
        <w:t>阳山县住</w:t>
      </w:r>
      <w:r>
        <w:rPr>
          <w:rFonts w:hint="eastAsia" w:cs="Times New Roman"/>
          <w:color w:val="auto"/>
          <w:kern w:val="0"/>
          <w:sz w:val="28"/>
          <w:szCs w:val="28"/>
          <w:highlight w:val="none"/>
          <w:shd w:val="clear" w:color="auto" w:fill="FFFFFF"/>
          <w:lang w:val="en-US" w:eastAsia="zh-CN"/>
        </w:rPr>
        <w:t>房和城乡</w:t>
      </w:r>
      <w:r>
        <w:rPr>
          <w:rFonts w:hint="eastAsia" w:cs="Times New Roman"/>
          <w:color w:val="auto"/>
          <w:kern w:val="0"/>
          <w:sz w:val="28"/>
          <w:szCs w:val="28"/>
          <w:highlight w:val="none"/>
          <w:shd w:val="clear" w:color="auto" w:fill="FFFFFF"/>
        </w:rPr>
        <w:t>建</w:t>
      </w:r>
      <w:r>
        <w:rPr>
          <w:rFonts w:hint="eastAsia" w:cs="Times New Roman"/>
          <w:color w:val="auto"/>
          <w:kern w:val="0"/>
          <w:sz w:val="28"/>
          <w:szCs w:val="28"/>
          <w:highlight w:val="none"/>
          <w:shd w:val="clear" w:color="auto" w:fill="FFFFFF"/>
          <w:lang w:val="en-US" w:eastAsia="zh-CN"/>
        </w:rPr>
        <w:t>设</w:t>
      </w:r>
      <w:r>
        <w:rPr>
          <w:rFonts w:hint="eastAsia" w:cs="Times New Roman"/>
          <w:color w:val="auto"/>
          <w:kern w:val="0"/>
          <w:sz w:val="28"/>
          <w:szCs w:val="28"/>
          <w:highlight w:val="none"/>
          <w:shd w:val="clear" w:color="auto" w:fill="FFFFFF"/>
        </w:rPr>
        <w:t>局根据阳山县人民政府的授权，编制阳山县管道燃气特许经营权实施方案。</w:t>
      </w:r>
    </w:p>
    <w:p>
      <w:pPr>
        <w:autoSpaceDE w:val="0"/>
        <w:autoSpaceDN w:val="0"/>
        <w:adjustRightInd w:val="0"/>
        <w:spacing w:beforeLines="0" w:afterLines="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 xml:space="preserve">   </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rPr>
        <w:t>2</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rPr>
        <w:t>阳山县住</w:t>
      </w:r>
      <w:r>
        <w:rPr>
          <w:rFonts w:hint="eastAsia" w:cs="Times New Roman"/>
          <w:color w:val="auto"/>
          <w:kern w:val="0"/>
          <w:sz w:val="28"/>
          <w:szCs w:val="28"/>
          <w:highlight w:val="none"/>
          <w:shd w:val="clear" w:color="auto" w:fill="FFFFFF"/>
          <w:lang w:val="en-US" w:eastAsia="zh-CN"/>
        </w:rPr>
        <w:t>房和城乡</w:t>
      </w:r>
      <w:r>
        <w:rPr>
          <w:rFonts w:hint="eastAsia" w:cs="Times New Roman"/>
          <w:color w:val="auto"/>
          <w:kern w:val="0"/>
          <w:sz w:val="28"/>
          <w:szCs w:val="28"/>
          <w:highlight w:val="none"/>
          <w:shd w:val="clear" w:color="auto" w:fill="FFFFFF"/>
        </w:rPr>
        <w:t>建</w:t>
      </w:r>
      <w:r>
        <w:rPr>
          <w:rFonts w:hint="eastAsia" w:cs="Times New Roman"/>
          <w:color w:val="auto"/>
          <w:kern w:val="0"/>
          <w:sz w:val="28"/>
          <w:szCs w:val="28"/>
          <w:highlight w:val="none"/>
          <w:shd w:val="clear" w:color="auto" w:fill="FFFFFF"/>
          <w:lang w:val="en-US" w:eastAsia="zh-CN"/>
        </w:rPr>
        <w:t>设</w:t>
      </w:r>
      <w:r>
        <w:rPr>
          <w:rFonts w:hint="eastAsia" w:cs="Times New Roman"/>
          <w:color w:val="auto"/>
          <w:kern w:val="0"/>
          <w:sz w:val="28"/>
          <w:szCs w:val="28"/>
          <w:highlight w:val="none"/>
          <w:shd w:val="clear" w:color="auto" w:fill="FFFFFF"/>
        </w:rPr>
        <w:t>局委托具有相应能力</w:t>
      </w:r>
      <w:r>
        <w:rPr>
          <w:rFonts w:hint="eastAsia" w:cs="Times New Roman"/>
          <w:color w:val="auto"/>
          <w:kern w:val="0"/>
          <w:sz w:val="28"/>
          <w:szCs w:val="28"/>
          <w:highlight w:val="none"/>
          <w:shd w:val="clear" w:color="auto" w:fill="FFFFFF"/>
          <w:lang w:val="en-US" w:eastAsia="zh-CN"/>
        </w:rPr>
        <w:t>和经验</w:t>
      </w:r>
      <w:r>
        <w:rPr>
          <w:rFonts w:hint="eastAsia" w:cs="Times New Roman"/>
          <w:color w:val="auto"/>
          <w:kern w:val="0"/>
          <w:sz w:val="28"/>
          <w:szCs w:val="28"/>
          <w:highlight w:val="none"/>
          <w:shd w:val="clear" w:color="auto" w:fill="FFFFFF"/>
        </w:rPr>
        <w:t>的第三方机构，开展特许经营</w:t>
      </w:r>
      <w:r>
        <w:rPr>
          <w:rFonts w:hint="eastAsia" w:cs="Times New Roman"/>
          <w:color w:val="auto"/>
          <w:kern w:val="0"/>
          <w:sz w:val="28"/>
          <w:szCs w:val="28"/>
          <w:highlight w:val="none"/>
          <w:shd w:val="clear" w:color="auto" w:fill="FFFFFF"/>
          <w:lang w:val="en-US" w:eastAsia="zh-CN"/>
        </w:rPr>
        <w:t>可行性</w:t>
      </w:r>
      <w:r>
        <w:rPr>
          <w:rFonts w:hint="eastAsia" w:cs="Times New Roman"/>
          <w:color w:val="auto"/>
          <w:kern w:val="0"/>
          <w:sz w:val="28"/>
          <w:szCs w:val="28"/>
          <w:highlight w:val="none"/>
          <w:shd w:val="clear" w:color="auto" w:fill="FFFFFF"/>
        </w:rPr>
        <w:t>评估，完善阳山县管道燃气特许经营权实施方案。</w:t>
      </w:r>
    </w:p>
    <w:p>
      <w:pPr>
        <w:autoSpaceDE w:val="0"/>
        <w:autoSpaceDN w:val="0"/>
        <w:adjustRightInd w:val="0"/>
        <w:spacing w:beforeLines="0" w:afterLines="0"/>
        <w:jc w:val="left"/>
        <w:rPr>
          <w:color w:val="auto"/>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 xml:space="preserve">   </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rPr>
        <w:t>3</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rPr>
        <w:t>阳山县住</w:t>
      </w:r>
      <w:r>
        <w:rPr>
          <w:rFonts w:hint="eastAsia" w:cs="Times New Roman"/>
          <w:color w:val="auto"/>
          <w:kern w:val="0"/>
          <w:sz w:val="28"/>
          <w:szCs w:val="28"/>
          <w:highlight w:val="none"/>
          <w:shd w:val="clear" w:color="auto" w:fill="FFFFFF"/>
          <w:lang w:val="en-US" w:eastAsia="zh-CN"/>
        </w:rPr>
        <w:t>房和城乡</w:t>
      </w:r>
      <w:r>
        <w:rPr>
          <w:rFonts w:hint="eastAsia" w:cs="Times New Roman"/>
          <w:color w:val="auto"/>
          <w:kern w:val="0"/>
          <w:sz w:val="28"/>
          <w:szCs w:val="28"/>
          <w:highlight w:val="none"/>
          <w:shd w:val="clear" w:color="auto" w:fill="FFFFFF"/>
        </w:rPr>
        <w:t>建</w:t>
      </w:r>
      <w:r>
        <w:rPr>
          <w:rFonts w:hint="eastAsia" w:cs="Times New Roman"/>
          <w:color w:val="auto"/>
          <w:kern w:val="0"/>
          <w:sz w:val="28"/>
          <w:szCs w:val="28"/>
          <w:highlight w:val="none"/>
          <w:shd w:val="clear" w:color="auto" w:fill="FFFFFF"/>
          <w:lang w:val="en-US" w:eastAsia="zh-CN"/>
        </w:rPr>
        <w:t>设</w:t>
      </w:r>
      <w:r>
        <w:rPr>
          <w:rFonts w:hint="eastAsia" w:cs="Times New Roman"/>
          <w:color w:val="auto"/>
          <w:kern w:val="0"/>
          <w:sz w:val="28"/>
          <w:szCs w:val="28"/>
          <w:highlight w:val="none"/>
          <w:shd w:val="clear" w:color="auto" w:fill="FFFFFF"/>
        </w:rPr>
        <w:t>局根据《基础设施和公用事业特许经营管理办法》会同</w:t>
      </w:r>
      <w:r>
        <w:rPr>
          <w:rFonts w:hint="eastAsia" w:cs="Times New Roman"/>
          <w:color w:val="auto"/>
          <w:kern w:val="0"/>
          <w:sz w:val="28"/>
          <w:szCs w:val="28"/>
          <w:highlight w:val="none"/>
          <w:shd w:val="clear" w:color="auto" w:fill="FFFFFF"/>
          <w:lang w:val="en-US" w:eastAsia="zh-CN"/>
        </w:rPr>
        <w:t>发展改革、财政、城乡规划、国土等</w:t>
      </w:r>
      <w:r>
        <w:rPr>
          <w:rFonts w:hint="eastAsia" w:cs="Times New Roman"/>
          <w:color w:val="auto"/>
          <w:kern w:val="0"/>
          <w:sz w:val="28"/>
          <w:szCs w:val="28"/>
          <w:highlight w:val="none"/>
          <w:shd w:val="clear" w:color="auto" w:fill="FFFFFF"/>
        </w:rPr>
        <w:t>有关部门</w:t>
      </w:r>
      <w:r>
        <w:rPr>
          <w:rFonts w:hint="eastAsia" w:cs="Times New Roman"/>
          <w:color w:val="auto"/>
          <w:kern w:val="0"/>
          <w:sz w:val="28"/>
          <w:szCs w:val="28"/>
          <w:highlight w:val="none"/>
          <w:shd w:val="clear" w:color="auto" w:fill="FFFFFF"/>
          <w:lang w:val="en-US" w:eastAsia="zh-CN"/>
        </w:rPr>
        <w:t>对</w:t>
      </w:r>
      <w:r>
        <w:rPr>
          <w:rFonts w:hint="eastAsia" w:cs="Times New Roman"/>
          <w:color w:val="auto"/>
          <w:kern w:val="0"/>
          <w:sz w:val="28"/>
          <w:szCs w:val="28"/>
          <w:highlight w:val="none"/>
          <w:shd w:val="clear" w:color="auto" w:fill="FFFFFF"/>
        </w:rPr>
        <w:t>阳山县管道燃气特许经营权实施方案</w:t>
      </w:r>
      <w:r>
        <w:rPr>
          <w:rFonts w:hint="eastAsia" w:cs="Times New Roman"/>
          <w:color w:val="auto"/>
          <w:kern w:val="0"/>
          <w:sz w:val="28"/>
          <w:szCs w:val="28"/>
          <w:highlight w:val="none"/>
          <w:shd w:val="clear" w:color="auto" w:fill="FFFFFF"/>
          <w:lang w:val="en-US" w:eastAsia="zh-CN"/>
        </w:rPr>
        <w:t>进行审查，经审查认为实施方案可行的，各部门应当根据职责分别出具书面审查意见</w:t>
      </w:r>
      <w:r>
        <w:rPr>
          <w:rFonts w:hint="eastAsia" w:cs="Times New Roman"/>
          <w:color w:val="auto"/>
          <w:kern w:val="0"/>
          <w:sz w:val="28"/>
          <w:szCs w:val="28"/>
          <w:highlight w:val="none"/>
          <w:shd w:val="clear" w:color="auto" w:fill="FFFFFF"/>
        </w:rPr>
        <w:t>。</w:t>
      </w:r>
    </w:p>
    <w:p>
      <w:pPr>
        <w:autoSpaceDE w:val="0"/>
        <w:autoSpaceDN w:val="0"/>
        <w:adjustRightInd w:val="0"/>
        <w:jc w:val="left"/>
        <w:rPr>
          <w:rFonts w:cs="Times New Roman"/>
          <w:color w:val="auto"/>
          <w:kern w:val="0"/>
          <w:sz w:val="28"/>
          <w:szCs w:val="28"/>
          <w:highlight w:val="none"/>
          <w:shd w:val="clear" w:color="auto" w:fill="FFFFFF"/>
        </w:rPr>
      </w:pPr>
      <w:r>
        <w:rPr>
          <w:rFonts w:hint="eastAsia"/>
          <w:color w:val="auto"/>
          <w:sz w:val="28"/>
          <w:szCs w:val="28"/>
          <w:highlight w:val="none"/>
          <w:shd w:val="clear" w:color="auto" w:fill="FFFFFF"/>
          <w:lang w:val="en-US" w:eastAsia="zh-CN"/>
        </w:rPr>
        <w:t xml:space="preserve">   </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4</w:t>
      </w:r>
      <w:r>
        <w:rPr>
          <w:rFonts w:hint="eastAsia"/>
          <w:color w:val="auto"/>
          <w:sz w:val="28"/>
          <w:szCs w:val="28"/>
          <w:highlight w:val="none"/>
          <w:shd w:val="clear" w:color="auto" w:fill="FFFFFF"/>
          <w:lang w:eastAsia="zh-CN"/>
        </w:rPr>
        <w:t>）</w:t>
      </w:r>
      <w:r>
        <w:rPr>
          <w:rFonts w:hint="eastAsia" w:cs="Times New Roman"/>
          <w:color w:val="auto"/>
          <w:kern w:val="0"/>
          <w:sz w:val="28"/>
          <w:szCs w:val="28"/>
          <w:highlight w:val="none"/>
          <w:shd w:val="clear" w:color="auto" w:fill="FFFFFF"/>
        </w:rPr>
        <w:t>阳山县住</w:t>
      </w:r>
      <w:r>
        <w:rPr>
          <w:rFonts w:hint="eastAsia" w:cs="Times New Roman"/>
          <w:color w:val="auto"/>
          <w:kern w:val="0"/>
          <w:sz w:val="28"/>
          <w:szCs w:val="28"/>
          <w:highlight w:val="none"/>
          <w:shd w:val="clear" w:color="auto" w:fill="FFFFFF"/>
          <w:lang w:val="en-US" w:eastAsia="zh-CN"/>
        </w:rPr>
        <w:t>房和城乡</w:t>
      </w:r>
      <w:r>
        <w:rPr>
          <w:rFonts w:hint="eastAsia" w:cs="Times New Roman"/>
          <w:color w:val="auto"/>
          <w:kern w:val="0"/>
          <w:sz w:val="28"/>
          <w:szCs w:val="28"/>
          <w:highlight w:val="none"/>
          <w:shd w:val="clear" w:color="auto" w:fill="FFFFFF"/>
        </w:rPr>
        <w:t>建</w:t>
      </w:r>
      <w:r>
        <w:rPr>
          <w:rFonts w:hint="eastAsia" w:cs="Times New Roman"/>
          <w:color w:val="auto"/>
          <w:kern w:val="0"/>
          <w:sz w:val="28"/>
          <w:szCs w:val="28"/>
          <w:highlight w:val="none"/>
          <w:shd w:val="clear" w:color="auto" w:fill="FFFFFF"/>
          <w:lang w:val="en-US" w:eastAsia="zh-CN"/>
        </w:rPr>
        <w:t>设</w:t>
      </w:r>
      <w:r>
        <w:rPr>
          <w:rFonts w:hint="eastAsia" w:cs="Times New Roman"/>
          <w:color w:val="auto"/>
          <w:kern w:val="0"/>
          <w:sz w:val="28"/>
          <w:szCs w:val="28"/>
          <w:highlight w:val="none"/>
          <w:shd w:val="clear" w:color="auto" w:fill="FFFFFF"/>
        </w:rPr>
        <w:t>局</w:t>
      </w:r>
      <w:r>
        <w:rPr>
          <w:rFonts w:hint="eastAsia" w:cs="Times New Roman"/>
          <w:color w:val="auto"/>
          <w:kern w:val="0"/>
          <w:sz w:val="28"/>
          <w:szCs w:val="28"/>
          <w:highlight w:val="none"/>
          <w:shd w:val="clear" w:color="auto" w:fill="FFFFFF"/>
          <w:lang w:val="en-US" w:eastAsia="zh-CN"/>
        </w:rPr>
        <w:t>综合各部门书面审查意见，</w:t>
      </w:r>
      <w:r>
        <w:rPr>
          <w:color w:val="auto"/>
          <w:sz w:val="28"/>
          <w:szCs w:val="28"/>
          <w:highlight w:val="none"/>
          <w:shd w:val="clear" w:color="auto" w:fill="FFFFFF"/>
        </w:rPr>
        <w:t>报</w:t>
      </w:r>
      <w:r>
        <w:rPr>
          <w:rFonts w:hint="eastAsia" w:cs="Times New Roman"/>
          <w:color w:val="auto"/>
          <w:kern w:val="0"/>
          <w:sz w:val="28"/>
          <w:szCs w:val="28"/>
          <w:highlight w:val="none"/>
          <w:shd w:val="clear" w:color="auto" w:fill="FFFFFF"/>
        </w:rPr>
        <w:t>阳山</w:t>
      </w:r>
      <w:r>
        <w:rPr>
          <w:color w:val="auto"/>
          <w:sz w:val="28"/>
          <w:szCs w:val="28"/>
          <w:highlight w:val="none"/>
          <w:shd w:val="clear" w:color="auto" w:fill="FFFFFF"/>
        </w:rPr>
        <w:t>县</w:t>
      </w:r>
      <w:r>
        <w:rPr>
          <w:rFonts w:hint="eastAsia"/>
          <w:color w:val="auto"/>
          <w:sz w:val="28"/>
          <w:szCs w:val="28"/>
          <w:highlight w:val="none"/>
          <w:shd w:val="clear" w:color="auto" w:fill="FFFFFF"/>
          <w:lang w:val="en-US" w:eastAsia="zh-CN"/>
        </w:rPr>
        <w:t>人民</w:t>
      </w:r>
      <w:r>
        <w:rPr>
          <w:color w:val="auto"/>
          <w:sz w:val="28"/>
          <w:szCs w:val="28"/>
          <w:highlight w:val="none"/>
          <w:shd w:val="clear" w:color="auto" w:fill="FFFFFF"/>
        </w:rPr>
        <w:t>政府</w:t>
      </w:r>
      <w:r>
        <w:rPr>
          <w:rFonts w:hint="eastAsia"/>
          <w:color w:val="auto"/>
          <w:sz w:val="28"/>
          <w:szCs w:val="28"/>
          <w:highlight w:val="none"/>
          <w:shd w:val="clear" w:color="auto" w:fill="FFFFFF"/>
          <w:lang w:val="en-US" w:eastAsia="zh-CN"/>
        </w:rPr>
        <w:t>审定特许经营项目实施方案，并依法向社会公开</w:t>
      </w:r>
      <w:r>
        <w:rPr>
          <w:rFonts w:hint="eastAsia"/>
          <w:color w:val="auto"/>
          <w:sz w:val="28"/>
          <w:szCs w:val="28"/>
          <w:highlight w:val="none"/>
          <w:shd w:val="clear" w:color="auto" w:fill="FFFFFF"/>
        </w:rPr>
        <w:t>。</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 xml:space="preserve">   </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lang w:val="en-US" w:eastAsia="zh-CN"/>
        </w:rPr>
        <w:t>5）</w:t>
      </w:r>
      <w:r>
        <w:rPr>
          <w:rFonts w:hint="eastAsia" w:cs="Times New Roman"/>
          <w:color w:val="auto"/>
          <w:kern w:val="0"/>
          <w:sz w:val="28"/>
          <w:szCs w:val="28"/>
          <w:highlight w:val="none"/>
          <w:shd w:val="clear" w:color="auto" w:fill="FFFFFF"/>
        </w:rPr>
        <w:t>阳山县住</w:t>
      </w:r>
      <w:r>
        <w:rPr>
          <w:rFonts w:hint="eastAsia" w:cs="Times New Roman"/>
          <w:color w:val="auto"/>
          <w:kern w:val="0"/>
          <w:sz w:val="28"/>
          <w:szCs w:val="28"/>
          <w:highlight w:val="none"/>
          <w:shd w:val="clear" w:color="auto" w:fill="FFFFFF"/>
          <w:lang w:val="en-US" w:eastAsia="zh-CN"/>
        </w:rPr>
        <w:t>房和城乡建设</w:t>
      </w:r>
      <w:r>
        <w:rPr>
          <w:rFonts w:hint="eastAsia" w:cs="Times New Roman"/>
          <w:color w:val="auto"/>
          <w:kern w:val="0"/>
          <w:sz w:val="28"/>
          <w:szCs w:val="28"/>
          <w:highlight w:val="none"/>
          <w:shd w:val="clear" w:color="auto" w:fill="FFFFFF"/>
        </w:rPr>
        <w:t>局</w:t>
      </w:r>
      <w:r>
        <w:rPr>
          <w:rFonts w:hint="eastAsia" w:cs="Times New Roman"/>
          <w:color w:val="auto"/>
          <w:kern w:val="0"/>
          <w:sz w:val="28"/>
          <w:szCs w:val="28"/>
          <w:highlight w:val="none"/>
          <w:shd w:val="clear" w:color="auto" w:fill="FFFFFF"/>
          <w:lang w:val="en-US" w:eastAsia="zh-CN"/>
        </w:rPr>
        <w:t>经</w:t>
      </w:r>
      <w:r>
        <w:rPr>
          <w:rFonts w:hint="eastAsia" w:cs="Times New Roman"/>
          <w:color w:val="auto"/>
          <w:kern w:val="0"/>
          <w:sz w:val="28"/>
          <w:szCs w:val="28"/>
          <w:highlight w:val="none"/>
          <w:shd w:val="clear" w:color="auto" w:fill="FFFFFF"/>
        </w:rPr>
        <w:t>阳山县人民政府授权，以</w:t>
      </w:r>
      <w:r>
        <w:rPr>
          <w:rFonts w:hint="eastAsia" w:cs="Times New Roman"/>
          <w:color w:val="auto"/>
          <w:kern w:val="0"/>
          <w:sz w:val="28"/>
          <w:szCs w:val="28"/>
          <w:highlight w:val="none"/>
          <w:shd w:val="clear" w:color="auto" w:fill="FFFFFF"/>
          <w:lang w:val="en-US" w:eastAsia="zh-CN"/>
        </w:rPr>
        <w:t>公开</w:t>
      </w:r>
      <w:r>
        <w:rPr>
          <w:rFonts w:hint="eastAsia" w:cs="Times New Roman"/>
          <w:color w:val="auto"/>
          <w:kern w:val="0"/>
          <w:sz w:val="28"/>
          <w:szCs w:val="28"/>
          <w:highlight w:val="none"/>
          <w:shd w:val="clear" w:color="auto" w:fill="FFFFFF"/>
        </w:rPr>
        <w:t>招标的方法确定管道燃气特许经营权经营者。</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 xml:space="preserve">   </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lang w:val="en-US" w:eastAsia="zh-CN"/>
        </w:rPr>
        <w:t>6）</w:t>
      </w:r>
      <w:r>
        <w:rPr>
          <w:rFonts w:hint="eastAsia" w:ascii="宋体" w:hAnsi="宋体"/>
          <w:b/>
          <w:bCs/>
          <w:color w:val="auto"/>
          <w:sz w:val="28"/>
          <w:szCs w:val="28"/>
          <w:highlight w:val="none"/>
        </w:rPr>
        <w:t>阳山县管道燃气行政主管部门</w:t>
      </w:r>
      <w:r>
        <w:rPr>
          <w:rFonts w:hint="eastAsia" w:cs="Times New Roman"/>
          <w:color w:val="auto"/>
          <w:kern w:val="0"/>
          <w:sz w:val="28"/>
          <w:szCs w:val="28"/>
          <w:highlight w:val="none"/>
          <w:shd w:val="clear" w:color="auto" w:fill="FFFFFF"/>
          <w:lang w:val="en-US" w:eastAsia="zh-CN"/>
        </w:rPr>
        <w:t>经</w:t>
      </w:r>
      <w:r>
        <w:rPr>
          <w:rFonts w:hint="eastAsia" w:cs="Times New Roman"/>
          <w:color w:val="auto"/>
          <w:kern w:val="0"/>
          <w:sz w:val="28"/>
          <w:szCs w:val="28"/>
          <w:highlight w:val="none"/>
          <w:shd w:val="clear" w:color="auto" w:fill="FFFFFF"/>
        </w:rPr>
        <w:t>阳山县人民政府授权</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管道燃气特许经营权中标单位签署</w:t>
      </w:r>
      <w:r>
        <w:rPr>
          <w:rFonts w:hint="eastAsia" w:cs="Times New Roman"/>
          <w:color w:val="auto"/>
          <w:kern w:val="0"/>
          <w:sz w:val="28"/>
          <w:szCs w:val="28"/>
          <w:highlight w:val="none"/>
          <w:shd w:val="clear" w:color="auto" w:fill="FFFFFF"/>
          <w:lang w:val="en-US" w:eastAsia="zh-CN"/>
        </w:rPr>
        <w:t>阳山县</w:t>
      </w:r>
      <w:r>
        <w:rPr>
          <w:rFonts w:hint="eastAsia" w:cs="Times New Roman"/>
          <w:color w:val="auto"/>
          <w:kern w:val="0"/>
          <w:sz w:val="28"/>
          <w:szCs w:val="28"/>
          <w:highlight w:val="none"/>
          <w:shd w:val="clear" w:color="auto" w:fill="FFFFFF"/>
        </w:rPr>
        <w:t>管道燃气特许经营权协议。</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2.2.2技术路线合理性</w:t>
      </w:r>
    </w:p>
    <w:p>
      <w:pPr>
        <w:spacing w:line="480" w:lineRule="auto"/>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lang w:val="en-US" w:eastAsia="zh-CN"/>
        </w:rPr>
        <w:t xml:space="preserve">   </w:t>
      </w:r>
      <w:r>
        <w:rPr>
          <w:rFonts w:hint="eastAsia" w:cs="Times New Roman"/>
          <w:color w:val="auto"/>
          <w:kern w:val="0"/>
          <w:szCs w:val="28"/>
          <w:highlight w:val="none"/>
          <w:shd w:val="clear" w:color="auto" w:fill="FFFFFF"/>
        </w:rPr>
        <w:t>（1）阳山县管道燃气特许经营项目实施符合《基础设施和公用事业特许经营管理办法》的规定。</w:t>
      </w:r>
    </w:p>
    <w:p>
      <w:pPr>
        <w:spacing w:line="480" w:lineRule="auto"/>
        <w:jc w:val="left"/>
        <w:rPr>
          <w:rFonts w:cs="Times New Roman"/>
          <w:color w:val="auto"/>
          <w:kern w:val="0"/>
          <w:szCs w:val="28"/>
          <w:highlight w:val="none"/>
          <w:shd w:val="clear" w:color="auto" w:fill="FFFFFF"/>
        </w:rPr>
      </w:pPr>
      <w:r>
        <w:rPr>
          <w:rFonts w:hint="eastAsia" w:cs="Times New Roman"/>
          <w:color w:val="auto"/>
          <w:kern w:val="0"/>
          <w:szCs w:val="28"/>
          <w:highlight w:val="none"/>
          <w:shd w:val="clear" w:color="auto" w:fill="FFFFFF"/>
          <w:lang w:val="en-US" w:eastAsia="zh-CN"/>
        </w:rPr>
        <w:t xml:space="preserve">   </w:t>
      </w:r>
      <w:r>
        <w:rPr>
          <w:rFonts w:hint="eastAsia" w:cs="Times New Roman"/>
          <w:color w:val="auto"/>
          <w:kern w:val="0"/>
          <w:szCs w:val="28"/>
          <w:highlight w:val="none"/>
          <w:shd w:val="clear" w:color="auto" w:fill="FFFFFF"/>
        </w:rPr>
        <w:t>（2）阳山县管道燃气特许经营项目实施符合清远市及阳山县关于重大事项决策的程序。</w:t>
      </w:r>
    </w:p>
    <w:p>
      <w:pPr>
        <w:spacing w:line="480" w:lineRule="auto"/>
        <w:jc w:val="left"/>
        <w:rPr>
          <w:rFonts w:cs="Times New Roman"/>
          <w:color w:val="auto"/>
          <w:szCs w:val="28"/>
          <w:highlight w:val="none"/>
          <w:shd w:val="clear" w:color="auto" w:fill="FFFFFF"/>
        </w:rPr>
      </w:pPr>
      <w:r>
        <w:rPr>
          <w:rFonts w:hint="eastAsia" w:cs="Times New Roman"/>
          <w:color w:val="auto"/>
          <w:kern w:val="0"/>
          <w:szCs w:val="28"/>
          <w:highlight w:val="none"/>
          <w:shd w:val="clear" w:color="auto" w:fill="FFFFFF"/>
          <w:lang w:val="en-US" w:eastAsia="zh-CN"/>
        </w:rPr>
        <w:t xml:space="preserve">   </w:t>
      </w:r>
      <w:r>
        <w:rPr>
          <w:rFonts w:hint="eastAsia" w:cs="Times New Roman"/>
          <w:color w:val="auto"/>
          <w:kern w:val="0"/>
          <w:szCs w:val="28"/>
          <w:highlight w:val="none"/>
          <w:shd w:val="clear" w:color="auto" w:fill="FFFFFF"/>
        </w:rPr>
        <w:t>（3）阳山县管道燃气特许经营项目采取招标的方法确定管道燃气特许经营权经营者符合市场化的原则。</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2.2.3工程方案</w:t>
      </w:r>
    </w:p>
    <w:p>
      <w:pPr>
        <w:pStyle w:val="20"/>
        <w:widowControl/>
        <w:shd w:val="clear" w:color="auto" w:fill="FFFFFF"/>
        <w:spacing w:beforeAutospacing="0" w:afterAutospacing="0" w:line="360" w:lineRule="atLeast"/>
        <w:ind w:firstLine="420"/>
        <w:rPr>
          <w:color w:val="auto"/>
          <w:sz w:val="28"/>
          <w:szCs w:val="28"/>
          <w:highlight w:val="none"/>
          <w:shd w:val="clear" w:color="auto" w:fill="FFFFFF"/>
        </w:rPr>
      </w:pP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1</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近期进行</w:t>
      </w:r>
      <w:r>
        <w:rPr>
          <w:rFonts w:hint="eastAsia"/>
          <w:color w:val="auto"/>
          <w:sz w:val="28"/>
          <w:szCs w:val="28"/>
          <w:highlight w:val="none"/>
          <w:shd w:val="clear" w:color="auto" w:fill="FFFFFF"/>
          <w:lang w:val="en-US" w:eastAsia="zh-CN"/>
        </w:rPr>
        <w:t>阳山县管道燃气</w:t>
      </w:r>
      <w:r>
        <w:rPr>
          <w:rFonts w:hint="eastAsia"/>
          <w:color w:val="auto"/>
          <w:sz w:val="28"/>
          <w:szCs w:val="28"/>
          <w:highlight w:val="none"/>
          <w:shd w:val="clear" w:color="auto" w:fill="FFFFFF"/>
        </w:rPr>
        <w:t>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选定，确定特许经营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后组建项目公司</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lang w:val="en-US" w:eastAsia="zh-CN"/>
        </w:rPr>
        <w:t>项目公司近期</w:t>
      </w:r>
      <w:r>
        <w:rPr>
          <w:rFonts w:hint="eastAsia"/>
          <w:color w:val="auto"/>
          <w:sz w:val="28"/>
          <w:szCs w:val="28"/>
          <w:highlight w:val="none"/>
          <w:shd w:val="clear" w:color="auto" w:fill="FFFFFF"/>
        </w:rPr>
        <w:t>对阳山县城规划区域进行开发，并建设配套中压管网，覆盖县城规划区域内的用户。项目公司依法取得</w:t>
      </w:r>
      <w:r>
        <w:rPr>
          <w:rFonts w:hint="eastAsia"/>
          <w:color w:val="auto"/>
          <w:sz w:val="28"/>
          <w:szCs w:val="28"/>
          <w:highlight w:val="none"/>
          <w:shd w:val="clear" w:color="auto" w:fill="FFFFFF"/>
          <w:lang w:val="en-US" w:eastAsia="zh-CN"/>
        </w:rPr>
        <w:t>建站土地</w:t>
      </w:r>
      <w:r>
        <w:rPr>
          <w:rFonts w:hint="eastAsia"/>
          <w:color w:val="auto"/>
          <w:sz w:val="28"/>
          <w:szCs w:val="28"/>
          <w:highlight w:val="none"/>
          <w:shd w:val="clear" w:color="auto" w:fill="FFFFFF"/>
        </w:rPr>
        <w:t>后</w:t>
      </w:r>
      <w:r>
        <w:rPr>
          <w:rFonts w:hint="eastAsia"/>
          <w:color w:val="auto"/>
          <w:sz w:val="28"/>
          <w:szCs w:val="28"/>
          <w:highlight w:val="none"/>
          <w:shd w:val="clear" w:color="auto" w:fill="FFFFFF"/>
          <w:lang w:val="en-US" w:eastAsia="zh-CN"/>
        </w:rPr>
        <w:t>的3个月内开工建设</w:t>
      </w:r>
      <w:r>
        <w:rPr>
          <w:rFonts w:hint="eastAsia"/>
          <w:color w:val="auto"/>
          <w:sz w:val="28"/>
          <w:szCs w:val="28"/>
          <w:highlight w:val="none"/>
          <w:shd w:val="clear" w:color="auto" w:fill="FFFFFF"/>
        </w:rPr>
        <w:t>，</w:t>
      </w:r>
      <w:r>
        <w:rPr>
          <w:rFonts w:hint="eastAsia"/>
          <w:color w:val="auto"/>
          <w:sz w:val="28"/>
          <w:szCs w:val="28"/>
          <w:highlight w:val="none"/>
          <w:shd w:val="clear" w:color="auto" w:fill="FFFFFF"/>
          <w:lang w:val="en-US" w:eastAsia="zh-CN"/>
        </w:rPr>
        <w:t>自动工之日起一年内力争</w:t>
      </w:r>
      <w:r>
        <w:rPr>
          <w:rFonts w:hint="eastAsia"/>
          <w:color w:val="auto"/>
          <w:sz w:val="28"/>
          <w:szCs w:val="28"/>
          <w:highlight w:val="none"/>
          <w:shd w:val="clear" w:color="auto" w:fill="FFFFFF"/>
        </w:rPr>
        <w:t>建设LNG气化站</w:t>
      </w:r>
      <w:r>
        <w:rPr>
          <w:rFonts w:hint="eastAsia"/>
          <w:color w:val="auto"/>
          <w:sz w:val="28"/>
          <w:szCs w:val="28"/>
          <w:highlight w:val="none"/>
          <w:shd w:val="clear" w:color="auto" w:fill="FFFFFF"/>
          <w:lang w:val="en-US" w:eastAsia="zh-CN"/>
        </w:rPr>
        <w:t>一座、完成阳山县中心城区内管道燃气50%管网建设并点火通气</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根据市场情况，建设L-CNG加气站1座，与LNG气化站合建。</w:t>
      </w:r>
    </w:p>
    <w:p>
      <w:pPr>
        <w:pStyle w:val="20"/>
        <w:widowControl/>
        <w:shd w:val="clear" w:color="auto" w:fill="FFFFFF"/>
        <w:spacing w:beforeAutospacing="0" w:afterAutospacing="0" w:line="360" w:lineRule="atLeast"/>
        <w:ind w:firstLine="420"/>
        <w:rPr>
          <w:color w:val="auto"/>
          <w:sz w:val="28"/>
          <w:szCs w:val="28"/>
          <w:highlight w:val="none"/>
          <w:shd w:val="clear" w:color="auto" w:fill="FFFFFF"/>
        </w:rPr>
      </w:pP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2</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中期根据市场发展情况扩建LNG气化站，满足用户发展需求。</w:t>
      </w:r>
      <w:r>
        <w:rPr>
          <w:rFonts w:hint="eastAsia"/>
          <w:color w:val="auto"/>
          <w:sz w:val="28"/>
          <w:szCs w:val="28"/>
          <w:highlight w:val="none"/>
          <w:shd w:val="clear" w:color="auto" w:fill="FFFFFF"/>
          <w:lang w:val="en-US" w:eastAsia="zh-CN"/>
        </w:rPr>
        <w:t>逐步对阳山县三大中心镇（阳城、黎埠、七拱）等进行开发，力争将燃气管道建设及业务扩展到全县行政区域，逐步形成覆盖全县的燃气管网</w:t>
      </w:r>
      <w:r>
        <w:rPr>
          <w:rFonts w:hint="eastAsia"/>
          <w:color w:val="auto"/>
          <w:sz w:val="28"/>
          <w:szCs w:val="28"/>
          <w:highlight w:val="none"/>
          <w:shd w:val="clear" w:color="auto" w:fill="FFFFFF"/>
        </w:rPr>
        <w:t>。根据市场情况，新建设L-CNG加气站1座。</w:t>
      </w:r>
    </w:p>
    <w:p>
      <w:pPr>
        <w:pStyle w:val="20"/>
        <w:widowControl/>
        <w:shd w:val="clear" w:color="auto" w:fill="FFFFFF"/>
        <w:spacing w:beforeAutospacing="0" w:afterAutospacing="0" w:line="360" w:lineRule="atLeast"/>
        <w:ind w:firstLine="420"/>
        <w:rPr>
          <w:color w:val="auto"/>
          <w:highlight w:val="none"/>
        </w:rPr>
      </w:pP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3</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远期结合高压长输管线的建设情况，适时建设天然气门站1座，配套高压管道（县域内），并继续发展用户并完善中压管网。</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2.2.3工程方案合理性</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2.2.3.1气量预测</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w:t>
      </w:r>
      <w:r>
        <w:rPr>
          <w:rFonts w:cs="Times New Roman"/>
          <w:color w:val="auto"/>
          <w:szCs w:val="28"/>
          <w:highlight w:val="none"/>
          <w:shd w:val="clear" w:color="auto" w:fill="FFFFFF"/>
        </w:rPr>
        <w:t>根据阳山县燃气</w:t>
      </w:r>
      <w:r>
        <w:rPr>
          <w:rFonts w:hint="eastAsia" w:cs="Times New Roman"/>
          <w:color w:val="auto"/>
          <w:szCs w:val="28"/>
          <w:highlight w:val="none"/>
          <w:shd w:val="clear" w:color="auto" w:fill="FFFFFF"/>
        </w:rPr>
        <w:t>专项</w:t>
      </w:r>
      <w:r>
        <w:rPr>
          <w:rFonts w:cs="Times New Roman"/>
          <w:color w:val="auto"/>
          <w:szCs w:val="28"/>
          <w:highlight w:val="none"/>
          <w:shd w:val="clear" w:color="auto" w:fill="FFFFFF"/>
        </w:rPr>
        <w:t>规划和阳山县的实际情况</w:t>
      </w:r>
      <w:r>
        <w:rPr>
          <w:rFonts w:hint="eastAsia" w:cs="Times New Roman"/>
          <w:color w:val="auto"/>
          <w:szCs w:val="28"/>
          <w:highlight w:val="none"/>
          <w:shd w:val="clear" w:color="auto" w:fill="FFFFFF"/>
        </w:rPr>
        <w:t>，对</w:t>
      </w:r>
      <w:r>
        <w:rPr>
          <w:rFonts w:cs="Times New Roman"/>
          <w:color w:val="auto"/>
          <w:szCs w:val="28"/>
          <w:highlight w:val="none"/>
          <w:shd w:val="clear" w:color="auto" w:fill="FFFFFF"/>
        </w:rPr>
        <w:t>阳山县用气量预测如下</w:t>
      </w:r>
      <w:r>
        <w:rPr>
          <w:rFonts w:hint="eastAsia" w:cs="Times New Roman"/>
          <w:color w:val="auto"/>
          <w:szCs w:val="28"/>
          <w:highlight w:val="none"/>
          <w:shd w:val="clear" w:color="auto" w:fill="FFFFFF"/>
        </w:rPr>
        <w:t>：</w:t>
      </w:r>
      <w:r>
        <w:rPr>
          <w:rFonts w:cs="Times New Roman"/>
          <w:color w:val="auto"/>
          <w:szCs w:val="28"/>
          <w:highlight w:val="none"/>
          <w:shd w:val="clear" w:color="auto" w:fill="FFFFFF"/>
        </w:rPr>
        <w:t xml:space="preserve"> </w:t>
      </w:r>
    </w:p>
    <w:tbl>
      <w:tblPr>
        <w:tblStyle w:val="26"/>
        <w:tblW w:w="8428" w:type="dxa"/>
        <w:tblInd w:w="93" w:type="dxa"/>
        <w:tblLayout w:type="fixed"/>
        <w:tblCellMar>
          <w:top w:w="0" w:type="dxa"/>
          <w:left w:w="108" w:type="dxa"/>
          <w:bottom w:w="0" w:type="dxa"/>
          <w:right w:w="108" w:type="dxa"/>
        </w:tblCellMar>
      </w:tblPr>
      <w:tblGrid>
        <w:gridCol w:w="1312"/>
        <w:gridCol w:w="1800"/>
        <w:gridCol w:w="2658"/>
        <w:gridCol w:w="2658"/>
      </w:tblGrid>
      <w:tr>
        <w:tblPrEx>
          <w:tblLayout w:type="fixed"/>
          <w:tblCellMar>
            <w:top w:w="0" w:type="dxa"/>
            <w:left w:w="108" w:type="dxa"/>
            <w:bottom w:w="0" w:type="dxa"/>
            <w:right w:w="108" w:type="dxa"/>
          </w:tblCellMar>
        </w:tblPrEx>
        <w:trPr>
          <w:trHeight w:val="384" w:hRule="atLeast"/>
        </w:trPr>
        <w:tc>
          <w:tcPr>
            <w:tcW w:w="13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用气区域</w:t>
            </w:r>
          </w:p>
        </w:tc>
        <w:tc>
          <w:tcPr>
            <w:tcW w:w="1800"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项目 </w:t>
            </w:r>
          </w:p>
        </w:tc>
        <w:tc>
          <w:tcPr>
            <w:tcW w:w="2658"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2025年</w:t>
            </w:r>
          </w:p>
        </w:tc>
        <w:tc>
          <w:tcPr>
            <w:tcW w:w="2658"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2034年</w:t>
            </w:r>
          </w:p>
        </w:tc>
      </w:tr>
      <w:tr>
        <w:tblPrEx>
          <w:tblLayout w:type="fixed"/>
          <w:tblCellMar>
            <w:top w:w="0" w:type="dxa"/>
            <w:left w:w="108" w:type="dxa"/>
            <w:bottom w:w="0" w:type="dxa"/>
            <w:right w:w="108" w:type="dxa"/>
          </w:tblCellMar>
        </w:tblPrEx>
        <w:trPr>
          <w:trHeight w:val="384" w:hRule="atLeast"/>
        </w:trPr>
        <w:tc>
          <w:tcPr>
            <w:tcW w:w="1312" w:type="dxa"/>
            <w:vMerge w:val="restart"/>
            <w:tcBorders>
              <w:top w:val="nil"/>
              <w:left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阳山</w:t>
            </w:r>
          </w:p>
        </w:tc>
        <w:tc>
          <w:tcPr>
            <w:tcW w:w="1800" w:type="dxa"/>
            <w:tcBorders>
              <w:top w:val="nil"/>
              <w:left w:val="nil"/>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居民 </w:t>
            </w:r>
          </w:p>
        </w:tc>
        <w:tc>
          <w:tcPr>
            <w:tcW w:w="2658" w:type="dxa"/>
            <w:tcBorders>
              <w:top w:val="nil"/>
              <w:left w:val="nil"/>
              <w:bottom w:val="single" w:color="auto" w:sz="4" w:space="0"/>
              <w:right w:val="single" w:color="auto" w:sz="4" w:space="0"/>
            </w:tcBorders>
            <w:vAlign w:val="center"/>
          </w:tcPr>
          <w:p>
            <w:pPr>
              <w:jc w:val="center"/>
              <w:rPr>
                <w:rFonts w:ascii="宋体" w:hAnsi="宋体" w:cs="宋体"/>
                <w:color w:val="auto"/>
                <w:sz w:val="21"/>
                <w:szCs w:val="21"/>
                <w:highlight w:val="none"/>
              </w:rPr>
            </w:pPr>
            <w:r>
              <w:rPr>
                <w:rFonts w:hint="eastAsia"/>
                <w:color w:val="auto"/>
                <w:sz w:val="21"/>
                <w:szCs w:val="21"/>
                <w:highlight w:val="none"/>
              </w:rPr>
              <w:t>1003.52</w:t>
            </w:r>
          </w:p>
        </w:tc>
        <w:tc>
          <w:tcPr>
            <w:tcW w:w="2658" w:type="dxa"/>
            <w:tcBorders>
              <w:top w:val="nil"/>
              <w:left w:val="nil"/>
              <w:bottom w:val="single" w:color="auto" w:sz="4" w:space="0"/>
              <w:right w:val="single" w:color="auto" w:sz="4" w:space="0"/>
            </w:tcBorders>
            <w:vAlign w:val="center"/>
          </w:tcPr>
          <w:p>
            <w:pPr>
              <w:jc w:val="center"/>
              <w:rPr>
                <w:rFonts w:ascii="宋体" w:hAnsi="宋体" w:cs="宋体"/>
                <w:color w:val="auto"/>
                <w:sz w:val="21"/>
                <w:szCs w:val="21"/>
                <w:highlight w:val="none"/>
              </w:rPr>
            </w:pPr>
            <w:r>
              <w:rPr>
                <w:rFonts w:hint="eastAsia"/>
                <w:color w:val="auto"/>
                <w:sz w:val="21"/>
                <w:szCs w:val="21"/>
                <w:highlight w:val="none"/>
              </w:rPr>
              <w:t>2061.7</w:t>
            </w:r>
          </w:p>
        </w:tc>
      </w:tr>
      <w:tr>
        <w:tblPrEx>
          <w:tblLayout w:type="fixed"/>
          <w:tblCellMar>
            <w:top w:w="0" w:type="dxa"/>
            <w:left w:w="108" w:type="dxa"/>
            <w:bottom w:w="0" w:type="dxa"/>
            <w:right w:w="108" w:type="dxa"/>
          </w:tblCellMar>
        </w:tblPrEx>
        <w:trPr>
          <w:trHeight w:val="384" w:hRule="atLeast"/>
        </w:trPr>
        <w:tc>
          <w:tcPr>
            <w:tcW w:w="1312" w:type="dxa"/>
            <w:vMerge w:val="continue"/>
            <w:tcBorders>
              <w:left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p>
        </w:tc>
        <w:tc>
          <w:tcPr>
            <w:tcW w:w="1800" w:type="dxa"/>
            <w:tcBorders>
              <w:top w:val="nil"/>
              <w:left w:val="nil"/>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公商 </w:t>
            </w:r>
          </w:p>
        </w:tc>
        <w:tc>
          <w:tcPr>
            <w:tcW w:w="2658" w:type="dxa"/>
            <w:tcBorders>
              <w:top w:val="nil"/>
              <w:left w:val="nil"/>
              <w:bottom w:val="single" w:color="auto" w:sz="4" w:space="0"/>
              <w:right w:val="single" w:color="auto" w:sz="4" w:space="0"/>
            </w:tcBorders>
            <w:vAlign w:val="center"/>
          </w:tcPr>
          <w:p>
            <w:pPr>
              <w:jc w:val="center"/>
              <w:rPr>
                <w:rFonts w:ascii="宋体" w:hAnsi="宋体" w:cs="宋体"/>
                <w:color w:val="auto"/>
                <w:sz w:val="22"/>
                <w:szCs w:val="22"/>
                <w:highlight w:val="none"/>
              </w:rPr>
            </w:pPr>
            <w:r>
              <w:rPr>
                <w:rFonts w:hint="eastAsia"/>
                <w:color w:val="auto"/>
                <w:sz w:val="22"/>
                <w:szCs w:val="22"/>
                <w:highlight w:val="none"/>
              </w:rPr>
              <w:t>361.26</w:t>
            </w:r>
          </w:p>
        </w:tc>
        <w:tc>
          <w:tcPr>
            <w:tcW w:w="2658" w:type="dxa"/>
            <w:tcBorders>
              <w:top w:val="nil"/>
              <w:left w:val="nil"/>
              <w:bottom w:val="single" w:color="auto" w:sz="4" w:space="0"/>
              <w:right w:val="single" w:color="auto" w:sz="4" w:space="0"/>
            </w:tcBorders>
            <w:vAlign w:val="center"/>
          </w:tcPr>
          <w:p>
            <w:pPr>
              <w:jc w:val="center"/>
              <w:rPr>
                <w:rFonts w:ascii="宋体" w:hAnsi="宋体" w:cs="宋体"/>
                <w:color w:val="auto"/>
                <w:sz w:val="22"/>
                <w:szCs w:val="22"/>
                <w:highlight w:val="none"/>
              </w:rPr>
            </w:pPr>
            <w:r>
              <w:rPr>
                <w:rFonts w:hint="eastAsia"/>
                <w:color w:val="auto"/>
                <w:sz w:val="22"/>
                <w:szCs w:val="22"/>
                <w:highlight w:val="none"/>
              </w:rPr>
              <w:t>742.21</w:t>
            </w:r>
          </w:p>
        </w:tc>
      </w:tr>
      <w:tr>
        <w:tblPrEx>
          <w:tblLayout w:type="fixed"/>
          <w:tblCellMar>
            <w:top w:w="0" w:type="dxa"/>
            <w:left w:w="108" w:type="dxa"/>
            <w:bottom w:w="0" w:type="dxa"/>
            <w:right w:w="108" w:type="dxa"/>
          </w:tblCellMar>
        </w:tblPrEx>
        <w:trPr>
          <w:trHeight w:val="384" w:hRule="atLeast"/>
        </w:trPr>
        <w:tc>
          <w:tcPr>
            <w:tcW w:w="1312" w:type="dxa"/>
            <w:vMerge w:val="continue"/>
            <w:tcBorders>
              <w:left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p>
        </w:tc>
        <w:tc>
          <w:tcPr>
            <w:tcW w:w="1800" w:type="dxa"/>
            <w:tcBorders>
              <w:top w:val="nil"/>
              <w:left w:val="nil"/>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工业 </w:t>
            </w:r>
          </w:p>
        </w:tc>
        <w:tc>
          <w:tcPr>
            <w:tcW w:w="2658" w:type="dxa"/>
            <w:tcBorders>
              <w:top w:val="nil"/>
              <w:left w:val="nil"/>
              <w:bottom w:val="single" w:color="auto" w:sz="4" w:space="0"/>
              <w:right w:val="single" w:color="auto" w:sz="4" w:space="0"/>
            </w:tcBorders>
            <w:vAlign w:val="center"/>
          </w:tcPr>
          <w:p>
            <w:pPr>
              <w:jc w:val="center"/>
              <w:rPr>
                <w:rFonts w:ascii="宋体" w:hAnsi="宋体" w:cs="宋体"/>
                <w:color w:val="auto"/>
                <w:sz w:val="22"/>
                <w:szCs w:val="22"/>
                <w:highlight w:val="none"/>
              </w:rPr>
            </w:pPr>
            <w:r>
              <w:rPr>
                <w:rFonts w:hint="eastAsia"/>
                <w:color w:val="auto"/>
                <w:sz w:val="22"/>
                <w:szCs w:val="22"/>
                <w:highlight w:val="none"/>
              </w:rPr>
              <w:t>1023.20</w:t>
            </w:r>
          </w:p>
        </w:tc>
        <w:tc>
          <w:tcPr>
            <w:tcW w:w="2658" w:type="dxa"/>
            <w:tcBorders>
              <w:top w:val="nil"/>
              <w:left w:val="nil"/>
              <w:bottom w:val="single" w:color="auto" w:sz="4" w:space="0"/>
              <w:right w:val="single" w:color="auto" w:sz="4" w:space="0"/>
            </w:tcBorders>
            <w:vAlign w:val="center"/>
          </w:tcPr>
          <w:p>
            <w:pPr>
              <w:jc w:val="center"/>
              <w:rPr>
                <w:rFonts w:ascii="宋体" w:hAnsi="宋体" w:cs="宋体"/>
                <w:color w:val="auto"/>
                <w:sz w:val="22"/>
                <w:szCs w:val="22"/>
                <w:highlight w:val="none"/>
              </w:rPr>
            </w:pPr>
            <w:r>
              <w:rPr>
                <w:rFonts w:hint="eastAsia"/>
                <w:color w:val="auto"/>
                <w:sz w:val="22"/>
                <w:szCs w:val="22"/>
                <w:highlight w:val="none"/>
              </w:rPr>
              <w:t>1487.89</w:t>
            </w:r>
          </w:p>
        </w:tc>
      </w:tr>
      <w:tr>
        <w:tblPrEx>
          <w:tblLayout w:type="fixed"/>
          <w:tblCellMar>
            <w:top w:w="0" w:type="dxa"/>
            <w:left w:w="108" w:type="dxa"/>
            <w:bottom w:w="0" w:type="dxa"/>
            <w:right w:w="108" w:type="dxa"/>
          </w:tblCellMar>
        </w:tblPrEx>
        <w:trPr>
          <w:trHeight w:val="384" w:hRule="atLeast"/>
        </w:trPr>
        <w:tc>
          <w:tcPr>
            <w:tcW w:w="1312" w:type="dxa"/>
            <w:vMerge w:val="continue"/>
            <w:tcBorders>
              <w:left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p>
        </w:tc>
        <w:tc>
          <w:tcPr>
            <w:tcW w:w="1800" w:type="dxa"/>
            <w:tcBorders>
              <w:top w:val="nil"/>
              <w:left w:val="nil"/>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车用 </w:t>
            </w:r>
          </w:p>
        </w:tc>
        <w:tc>
          <w:tcPr>
            <w:tcW w:w="2658" w:type="dxa"/>
            <w:tcBorders>
              <w:top w:val="nil"/>
              <w:left w:val="nil"/>
              <w:bottom w:val="single" w:color="auto" w:sz="4" w:space="0"/>
              <w:right w:val="single" w:color="auto" w:sz="4" w:space="0"/>
            </w:tcBorders>
            <w:vAlign w:val="center"/>
          </w:tcPr>
          <w:p>
            <w:pPr>
              <w:jc w:val="center"/>
              <w:rPr>
                <w:rFonts w:hint="eastAsia"/>
                <w:color w:val="auto"/>
                <w:sz w:val="22"/>
                <w:szCs w:val="22"/>
                <w:highlight w:val="none"/>
              </w:rPr>
            </w:pPr>
            <w:r>
              <w:rPr>
                <w:rFonts w:hint="eastAsia"/>
                <w:color w:val="auto"/>
                <w:sz w:val="22"/>
                <w:szCs w:val="22"/>
                <w:highlight w:val="none"/>
              </w:rPr>
              <w:t>678.99</w:t>
            </w:r>
          </w:p>
        </w:tc>
        <w:tc>
          <w:tcPr>
            <w:tcW w:w="2658" w:type="dxa"/>
            <w:tcBorders>
              <w:top w:val="nil"/>
              <w:left w:val="nil"/>
              <w:bottom w:val="single" w:color="auto" w:sz="4" w:space="0"/>
              <w:right w:val="single" w:color="auto" w:sz="4" w:space="0"/>
            </w:tcBorders>
            <w:vAlign w:val="center"/>
          </w:tcPr>
          <w:p>
            <w:pPr>
              <w:jc w:val="center"/>
              <w:rPr>
                <w:rFonts w:hint="eastAsia"/>
                <w:color w:val="auto"/>
                <w:sz w:val="22"/>
                <w:szCs w:val="22"/>
                <w:highlight w:val="none"/>
              </w:rPr>
            </w:pPr>
            <w:r>
              <w:rPr>
                <w:rFonts w:hint="eastAsia"/>
                <w:color w:val="auto"/>
                <w:sz w:val="22"/>
                <w:szCs w:val="22"/>
                <w:highlight w:val="none"/>
              </w:rPr>
              <w:t>1183.77</w:t>
            </w:r>
          </w:p>
        </w:tc>
      </w:tr>
      <w:tr>
        <w:tblPrEx>
          <w:tblLayout w:type="fixed"/>
          <w:tblCellMar>
            <w:top w:w="0" w:type="dxa"/>
            <w:left w:w="108" w:type="dxa"/>
            <w:bottom w:w="0" w:type="dxa"/>
            <w:right w:w="108" w:type="dxa"/>
          </w:tblCellMar>
        </w:tblPrEx>
        <w:trPr>
          <w:trHeight w:val="384" w:hRule="atLeast"/>
        </w:trPr>
        <w:tc>
          <w:tcPr>
            <w:tcW w:w="1312" w:type="dxa"/>
            <w:vMerge w:val="continue"/>
            <w:tcBorders>
              <w:left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p>
        </w:tc>
        <w:tc>
          <w:tcPr>
            <w:tcW w:w="1800" w:type="dxa"/>
            <w:tcBorders>
              <w:top w:val="nil"/>
              <w:left w:val="nil"/>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未预见量 </w:t>
            </w:r>
          </w:p>
        </w:tc>
        <w:tc>
          <w:tcPr>
            <w:tcW w:w="2658" w:type="dxa"/>
            <w:tcBorders>
              <w:top w:val="nil"/>
              <w:left w:val="nil"/>
              <w:bottom w:val="single" w:color="auto" w:sz="4" w:space="0"/>
              <w:right w:val="single" w:color="auto" w:sz="4" w:space="0"/>
            </w:tcBorders>
            <w:vAlign w:val="center"/>
          </w:tcPr>
          <w:p>
            <w:pPr>
              <w:jc w:val="center"/>
              <w:rPr>
                <w:rFonts w:hint="eastAsia"/>
                <w:color w:val="auto"/>
                <w:sz w:val="22"/>
                <w:szCs w:val="22"/>
                <w:highlight w:val="none"/>
              </w:rPr>
            </w:pPr>
            <w:r>
              <w:rPr>
                <w:rFonts w:hint="eastAsia"/>
                <w:color w:val="auto"/>
                <w:sz w:val="22"/>
                <w:szCs w:val="22"/>
                <w:highlight w:val="none"/>
              </w:rPr>
              <w:t>226.76</w:t>
            </w:r>
          </w:p>
          <w:p>
            <w:pPr>
              <w:jc w:val="center"/>
              <w:rPr>
                <w:rFonts w:hint="eastAsia"/>
                <w:color w:val="auto"/>
                <w:sz w:val="22"/>
                <w:szCs w:val="22"/>
                <w:highlight w:val="none"/>
              </w:rPr>
            </w:pPr>
          </w:p>
          <w:p>
            <w:pPr>
              <w:jc w:val="center"/>
              <w:rPr>
                <w:rFonts w:hint="eastAsia"/>
                <w:color w:val="auto"/>
                <w:sz w:val="22"/>
                <w:szCs w:val="22"/>
                <w:highlight w:val="none"/>
              </w:rPr>
            </w:pPr>
          </w:p>
        </w:tc>
        <w:tc>
          <w:tcPr>
            <w:tcW w:w="2658" w:type="dxa"/>
            <w:tcBorders>
              <w:top w:val="nil"/>
              <w:left w:val="nil"/>
              <w:bottom w:val="single" w:color="auto" w:sz="4" w:space="0"/>
              <w:right w:val="single" w:color="auto" w:sz="4" w:space="0"/>
            </w:tcBorders>
            <w:vAlign w:val="center"/>
          </w:tcPr>
          <w:p>
            <w:pPr>
              <w:jc w:val="center"/>
              <w:rPr>
                <w:rFonts w:hint="eastAsia"/>
                <w:color w:val="auto"/>
                <w:sz w:val="22"/>
                <w:szCs w:val="22"/>
                <w:highlight w:val="none"/>
              </w:rPr>
            </w:pPr>
            <w:r>
              <w:rPr>
                <w:rFonts w:hint="eastAsia"/>
                <w:color w:val="auto"/>
                <w:sz w:val="22"/>
                <w:szCs w:val="22"/>
                <w:highlight w:val="none"/>
              </w:rPr>
              <w:t>1322.72</w:t>
            </w:r>
          </w:p>
        </w:tc>
      </w:tr>
      <w:tr>
        <w:tblPrEx>
          <w:tblLayout w:type="fixed"/>
          <w:tblCellMar>
            <w:top w:w="0" w:type="dxa"/>
            <w:left w:w="108" w:type="dxa"/>
            <w:bottom w:w="0" w:type="dxa"/>
            <w:right w:w="108" w:type="dxa"/>
          </w:tblCellMar>
        </w:tblPrEx>
        <w:trPr>
          <w:trHeight w:val="384" w:hRule="atLeast"/>
        </w:trPr>
        <w:tc>
          <w:tcPr>
            <w:tcW w:w="1312"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p>
        </w:tc>
        <w:tc>
          <w:tcPr>
            <w:tcW w:w="1800" w:type="dxa"/>
            <w:tcBorders>
              <w:top w:val="nil"/>
              <w:left w:val="nil"/>
              <w:bottom w:val="single" w:color="auto" w:sz="4" w:space="0"/>
              <w:right w:val="single" w:color="auto" w:sz="4" w:space="0"/>
            </w:tcBorders>
            <w:vAlign w:val="center"/>
          </w:tcPr>
          <w:p>
            <w:pPr>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合计 (万 Nm</w:t>
            </w:r>
            <w:r>
              <w:rPr>
                <w:rFonts w:hint="eastAsia" w:asciiTheme="minorEastAsia" w:hAnsiTheme="minorEastAsia" w:eastAsiaTheme="minorEastAsia"/>
                <w:color w:val="auto"/>
                <w:sz w:val="21"/>
                <w:szCs w:val="21"/>
                <w:highlight w:val="none"/>
                <w:vertAlign w:val="superscript"/>
              </w:rPr>
              <w:t>3</w:t>
            </w:r>
            <w:r>
              <w:rPr>
                <w:rFonts w:hint="eastAsia" w:asciiTheme="minorEastAsia" w:hAnsiTheme="minorEastAsia" w:eastAsiaTheme="minorEastAsia"/>
                <w:color w:val="auto"/>
                <w:sz w:val="21"/>
                <w:szCs w:val="21"/>
                <w:highlight w:val="none"/>
              </w:rPr>
              <w:t xml:space="preserve">/a) </w:t>
            </w:r>
          </w:p>
        </w:tc>
        <w:tc>
          <w:tcPr>
            <w:tcW w:w="2658" w:type="dxa"/>
            <w:tcBorders>
              <w:top w:val="nil"/>
              <w:left w:val="nil"/>
              <w:bottom w:val="single" w:color="auto" w:sz="4" w:space="0"/>
              <w:right w:val="single" w:color="auto" w:sz="4" w:space="0"/>
            </w:tcBorders>
            <w:vAlign w:val="center"/>
          </w:tcPr>
          <w:p>
            <w:pPr>
              <w:jc w:val="center"/>
              <w:rPr>
                <w:rFonts w:hint="eastAsia"/>
                <w:color w:val="auto"/>
                <w:sz w:val="22"/>
                <w:szCs w:val="22"/>
                <w:highlight w:val="none"/>
              </w:rPr>
            </w:pPr>
            <w:r>
              <w:rPr>
                <w:rFonts w:hint="eastAsia"/>
                <w:color w:val="auto"/>
                <w:sz w:val="22"/>
                <w:szCs w:val="22"/>
                <w:highlight w:val="none"/>
              </w:rPr>
              <w:t>3293.75</w:t>
            </w:r>
          </w:p>
        </w:tc>
        <w:tc>
          <w:tcPr>
            <w:tcW w:w="2658" w:type="dxa"/>
            <w:tcBorders>
              <w:top w:val="nil"/>
              <w:left w:val="nil"/>
              <w:bottom w:val="single" w:color="auto" w:sz="4" w:space="0"/>
              <w:right w:val="single" w:color="auto" w:sz="4" w:space="0"/>
            </w:tcBorders>
            <w:vAlign w:val="center"/>
          </w:tcPr>
          <w:p>
            <w:pPr>
              <w:jc w:val="center"/>
              <w:rPr>
                <w:rFonts w:hint="eastAsia"/>
                <w:color w:val="auto"/>
                <w:sz w:val="22"/>
                <w:szCs w:val="22"/>
                <w:highlight w:val="none"/>
              </w:rPr>
            </w:pPr>
            <w:r>
              <w:rPr>
                <w:rFonts w:hint="eastAsia"/>
                <w:color w:val="auto"/>
                <w:sz w:val="22"/>
                <w:szCs w:val="22"/>
                <w:highlight w:val="none"/>
              </w:rPr>
              <w:t>6798.3</w:t>
            </w:r>
          </w:p>
        </w:tc>
      </w:tr>
    </w:tbl>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2.2.3.2工程方案的确定</w:t>
      </w:r>
    </w:p>
    <w:p>
      <w:pPr>
        <w:spacing w:line="480" w:lineRule="auto"/>
        <w:jc w:val="left"/>
        <w:rPr>
          <w:color w:val="auto"/>
          <w:szCs w:val="28"/>
          <w:highlight w:val="none"/>
          <w:shd w:val="clear" w:color="auto" w:fill="FFFFFF"/>
        </w:rPr>
      </w:pPr>
      <w:r>
        <w:rPr>
          <w:rFonts w:hint="eastAsia" w:cs="Times New Roman"/>
          <w:color w:val="auto"/>
          <w:szCs w:val="28"/>
          <w:highlight w:val="none"/>
          <w:shd w:val="clear" w:color="auto" w:fill="FFFFFF"/>
        </w:rPr>
        <w:t xml:space="preserve">    根据以上气量的预测，在</w:t>
      </w:r>
      <w:r>
        <w:rPr>
          <w:rFonts w:hint="eastAsia"/>
          <w:color w:val="auto"/>
          <w:szCs w:val="28"/>
          <w:highlight w:val="none"/>
          <w:shd w:val="clear" w:color="auto" w:fill="FFFFFF"/>
        </w:rPr>
        <w:t>近期天然气长输管线难以达到阳山县的情况下，建设LNG气化站可以满足阳山县城区的天然气供应需要。远期适时建设天然气门站，及天然气高压管道，以满足天然气供应的大幅增长。</w:t>
      </w:r>
    </w:p>
    <w:p>
      <w:pPr>
        <w:spacing w:line="480" w:lineRule="auto"/>
        <w:jc w:val="left"/>
        <w:rPr>
          <w:color w:val="auto"/>
          <w:szCs w:val="28"/>
          <w:highlight w:val="none"/>
          <w:shd w:val="clear" w:color="auto" w:fill="FFFFFF"/>
        </w:rPr>
      </w:pPr>
      <w:r>
        <w:rPr>
          <w:rFonts w:hint="eastAsia"/>
          <w:color w:val="auto"/>
          <w:szCs w:val="28"/>
          <w:highlight w:val="none"/>
          <w:shd w:val="clear" w:color="auto" w:fill="FFFFFF"/>
        </w:rPr>
        <w:t xml:space="preserve">     配套中压管网先全面覆盖县城规划区域内的用户，并逐步对黎埠、七拱等镇区进行开发，符合阳山城市规划的发展。</w:t>
      </w:r>
    </w:p>
    <w:p>
      <w:pPr>
        <w:spacing w:line="480" w:lineRule="auto"/>
        <w:jc w:val="left"/>
        <w:rPr>
          <w:color w:val="auto"/>
          <w:szCs w:val="28"/>
          <w:highlight w:val="none"/>
          <w:shd w:val="clear" w:color="auto" w:fill="FFFFFF"/>
        </w:rPr>
      </w:pPr>
      <w:r>
        <w:rPr>
          <w:rFonts w:hint="eastAsia"/>
          <w:color w:val="auto"/>
          <w:szCs w:val="28"/>
          <w:highlight w:val="none"/>
          <w:shd w:val="clear" w:color="auto" w:fill="FFFFFF"/>
        </w:rPr>
        <w:t xml:space="preserve">     汽车加气站则根据市场的需要，逐步建设，取得最大的经济效益。</w:t>
      </w:r>
    </w:p>
    <w:p>
      <w:pPr>
        <w:spacing w:line="480" w:lineRule="auto"/>
        <w:jc w:val="left"/>
        <w:rPr>
          <w:rFonts w:cs="Times New Roman"/>
          <w:color w:val="auto"/>
          <w:szCs w:val="28"/>
          <w:highlight w:val="none"/>
          <w:shd w:val="clear" w:color="auto" w:fill="FFFFFF"/>
        </w:rPr>
      </w:pPr>
      <w:r>
        <w:rPr>
          <w:rFonts w:hint="eastAsia"/>
          <w:color w:val="auto"/>
          <w:szCs w:val="28"/>
          <w:highlight w:val="none"/>
          <w:shd w:val="clear" w:color="auto" w:fill="FFFFFF"/>
        </w:rPr>
        <w:t xml:space="preserve">     本项目工程方案具有可行性、合理性、经济性。</w:t>
      </w: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pStyle w:val="2"/>
        <w:jc w:val="both"/>
        <w:rPr>
          <w:color w:val="auto"/>
          <w:highlight w:val="none"/>
          <w:shd w:val="clear" w:color="auto" w:fill="FFFFFF"/>
        </w:rPr>
      </w:pPr>
      <w:bookmarkStart w:id="16" w:name="_Toc5897"/>
      <w:r>
        <w:rPr>
          <w:rFonts w:hint="eastAsia"/>
          <w:color w:val="auto"/>
          <w:highlight w:val="none"/>
          <w:shd w:val="clear" w:color="auto" w:fill="FFFFFF"/>
        </w:rPr>
        <w:t>3.</w:t>
      </w:r>
      <w:r>
        <w:rPr>
          <w:color w:val="auto"/>
          <w:highlight w:val="none"/>
          <w:shd w:val="clear" w:color="auto" w:fill="FFFFFF"/>
        </w:rPr>
        <w:t>资金筹措方式、融资规模及资金成本</w:t>
      </w:r>
      <w:bookmarkEnd w:id="16"/>
    </w:p>
    <w:p>
      <w:pPr>
        <w:pStyle w:val="3"/>
        <w:rPr>
          <w:color w:val="auto"/>
          <w:highlight w:val="none"/>
        </w:rPr>
      </w:pPr>
      <w:bookmarkStart w:id="17" w:name="_Toc30340"/>
      <w:r>
        <w:rPr>
          <w:rFonts w:hint="eastAsia"/>
          <w:color w:val="auto"/>
          <w:highlight w:val="none"/>
        </w:rPr>
        <w:t>3.1</w:t>
      </w:r>
      <w:r>
        <w:rPr>
          <w:color w:val="auto"/>
          <w:highlight w:val="none"/>
        </w:rPr>
        <w:t>资金筹措方式</w:t>
      </w:r>
      <w:bookmarkEnd w:id="17"/>
    </w:p>
    <w:p>
      <w:pPr>
        <w:spacing w:line="360" w:lineRule="auto"/>
        <w:rPr>
          <w:color w:val="auto"/>
          <w:sz w:val="28"/>
          <w:szCs w:val="28"/>
          <w:highlight w:val="none"/>
          <w:shd w:val="clear" w:color="auto" w:fill="FFFFFF"/>
        </w:rPr>
      </w:pPr>
      <w:r>
        <w:rPr>
          <w:rFonts w:hint="eastAsia"/>
          <w:color w:val="auto"/>
          <w:szCs w:val="28"/>
          <w:highlight w:val="none"/>
          <w:shd w:val="clear" w:color="auto" w:fill="FFFFFF"/>
        </w:rPr>
        <w:t xml:space="preserve">    </w:t>
      </w:r>
      <w:r>
        <w:rPr>
          <w:rFonts w:hint="eastAsia"/>
          <w:color w:val="auto"/>
          <w:highlight w:val="none"/>
          <w:lang w:eastAsia="zh-CN"/>
        </w:rPr>
        <w:t>特许经营者</w:t>
      </w:r>
      <w:r>
        <w:rPr>
          <w:rFonts w:hint="eastAsia"/>
          <w:color w:val="auto"/>
          <w:highlight w:val="none"/>
        </w:rPr>
        <w:t>选定后，</w:t>
      </w:r>
      <w:r>
        <w:rPr>
          <w:rFonts w:hint="eastAsia" w:ascii="宋体" w:hAnsi="宋体"/>
          <w:b w:val="0"/>
          <w:bCs w:val="0"/>
          <w:color w:val="auto"/>
          <w:sz w:val="28"/>
          <w:szCs w:val="28"/>
          <w:highlight w:val="none"/>
        </w:rPr>
        <w:t>阳山县管道燃气行政主管部门</w:t>
      </w:r>
      <w:r>
        <w:rPr>
          <w:rFonts w:hint="eastAsia"/>
          <w:color w:val="auto"/>
          <w:sz w:val="28"/>
          <w:szCs w:val="28"/>
          <w:highlight w:val="none"/>
          <w:shd w:val="clear" w:color="auto" w:fill="FFFFFF"/>
          <w:lang w:val="en-US" w:eastAsia="zh-CN"/>
        </w:rPr>
        <w:t>经阳山县人民政府授权与</w:t>
      </w:r>
      <w:r>
        <w:rPr>
          <w:rFonts w:hint="eastAsia"/>
          <w:color w:val="auto"/>
          <w:sz w:val="28"/>
          <w:szCs w:val="28"/>
          <w:highlight w:val="none"/>
          <w:shd w:val="clear" w:color="auto" w:fill="FFFFFF"/>
        </w:rPr>
        <w:t>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签署特许经营协议</w:t>
      </w:r>
      <w:r>
        <w:rPr>
          <w:rFonts w:hint="eastAsia"/>
          <w:color w:val="auto"/>
          <w:highlight w:val="none"/>
        </w:rPr>
        <w:t>。</w:t>
      </w:r>
      <w:r>
        <w:rPr>
          <w:rFonts w:hint="eastAsia"/>
          <w:color w:val="auto"/>
          <w:highlight w:val="none"/>
          <w:lang w:eastAsia="zh-CN"/>
        </w:rPr>
        <w:t>特许经营者</w:t>
      </w:r>
      <w:r>
        <w:rPr>
          <w:rFonts w:hint="eastAsia"/>
          <w:color w:val="auto"/>
          <w:highlight w:val="none"/>
        </w:rPr>
        <w:t>在阳山县以合资形式与政府指定</w:t>
      </w:r>
      <w:r>
        <w:rPr>
          <w:rFonts w:hint="eastAsia"/>
          <w:color w:val="auto"/>
          <w:highlight w:val="none"/>
          <w:lang w:val="en-US" w:eastAsia="zh-CN"/>
        </w:rPr>
        <w:t>的</w:t>
      </w:r>
      <w:r>
        <w:rPr>
          <w:rFonts w:hint="eastAsia"/>
          <w:color w:val="auto"/>
          <w:highlight w:val="none"/>
        </w:rPr>
        <w:t>县属企业共同投资成立项目公司</w:t>
      </w:r>
      <w:r>
        <w:rPr>
          <w:rFonts w:hint="eastAsia"/>
          <w:color w:val="auto"/>
          <w:highlight w:val="none"/>
          <w:lang w:eastAsia="zh-CN"/>
        </w:rPr>
        <w:t>，</w:t>
      </w:r>
      <w:r>
        <w:rPr>
          <w:rFonts w:hint="eastAsia"/>
          <w:color w:val="auto"/>
          <w:sz w:val="28"/>
          <w:szCs w:val="28"/>
          <w:highlight w:val="none"/>
          <w:shd w:val="clear" w:color="auto" w:fill="FFFFFF"/>
        </w:rPr>
        <w:t>并及时向项目公司缴纳注册资本金。</w:t>
      </w:r>
      <w:r>
        <w:rPr>
          <w:rFonts w:hint="eastAsia"/>
          <w:color w:val="auto"/>
          <w:sz w:val="28"/>
          <w:szCs w:val="28"/>
          <w:highlight w:val="none"/>
          <w:shd w:val="clear" w:color="auto" w:fill="FFFFFF"/>
          <w:lang w:val="en-US" w:eastAsia="zh-CN"/>
        </w:rPr>
        <w:t>项目公司的注册资本定为2750万元人民币，其中：</w:t>
      </w:r>
      <w:r>
        <w:rPr>
          <w:rFonts w:hint="eastAsia"/>
          <w:color w:val="auto"/>
          <w:sz w:val="28"/>
          <w:szCs w:val="28"/>
          <w:highlight w:val="none"/>
          <w:shd w:val="clear" w:color="auto" w:fill="FFFFFF"/>
        </w:rPr>
        <w:t>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占项目公司注册资本的70%，政府指定</w:t>
      </w:r>
      <w:r>
        <w:rPr>
          <w:rFonts w:hint="eastAsia"/>
          <w:color w:val="auto"/>
          <w:sz w:val="28"/>
          <w:szCs w:val="28"/>
          <w:highlight w:val="none"/>
          <w:shd w:val="clear" w:color="auto" w:fill="FFFFFF"/>
          <w:lang w:val="en-US" w:eastAsia="zh-CN"/>
        </w:rPr>
        <w:t>的</w:t>
      </w:r>
      <w:r>
        <w:rPr>
          <w:rFonts w:hint="eastAsia"/>
          <w:color w:val="auto"/>
          <w:sz w:val="28"/>
          <w:szCs w:val="28"/>
          <w:highlight w:val="none"/>
          <w:shd w:val="clear" w:color="auto" w:fill="FFFFFF"/>
        </w:rPr>
        <w:t>县属企业占项目公司注册资本的30%。</w:t>
      </w:r>
    </w:p>
    <w:p>
      <w:pPr>
        <w:spacing w:line="360" w:lineRule="auto"/>
        <w:ind w:firstLine="560"/>
        <w:rPr>
          <w:color w:val="auto"/>
          <w:highlight w:val="none"/>
        </w:rPr>
      </w:pPr>
      <w:r>
        <w:rPr>
          <w:rFonts w:hint="eastAsia"/>
          <w:color w:val="auto"/>
          <w:sz w:val="28"/>
          <w:szCs w:val="28"/>
          <w:highlight w:val="none"/>
          <w:shd w:val="clear" w:color="auto" w:fill="FFFFFF"/>
        </w:rPr>
        <w:t>在特许经营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对项目公司出资到位后，项目公司应向政府</w:t>
      </w:r>
      <w:r>
        <w:rPr>
          <w:rFonts w:hint="eastAsia"/>
          <w:color w:val="auto"/>
          <w:sz w:val="28"/>
          <w:szCs w:val="28"/>
          <w:highlight w:val="none"/>
          <w:shd w:val="clear" w:color="auto" w:fill="FFFFFF"/>
          <w:lang w:val="en-US" w:eastAsia="zh-CN"/>
        </w:rPr>
        <w:t>或其</w:t>
      </w:r>
      <w:r>
        <w:rPr>
          <w:rFonts w:hint="eastAsia"/>
          <w:color w:val="auto"/>
          <w:sz w:val="28"/>
          <w:szCs w:val="28"/>
          <w:highlight w:val="none"/>
          <w:shd w:val="clear" w:color="auto" w:fill="FFFFFF"/>
        </w:rPr>
        <w:t>指定</w:t>
      </w:r>
      <w:r>
        <w:rPr>
          <w:rFonts w:hint="eastAsia"/>
          <w:color w:val="auto"/>
          <w:sz w:val="28"/>
          <w:szCs w:val="28"/>
          <w:highlight w:val="none"/>
          <w:shd w:val="clear" w:color="auto" w:fill="FFFFFF"/>
          <w:lang w:val="en-US" w:eastAsia="zh-CN"/>
        </w:rPr>
        <w:t>的单位</w:t>
      </w:r>
      <w:r>
        <w:rPr>
          <w:rFonts w:hint="eastAsia"/>
          <w:color w:val="auto"/>
          <w:sz w:val="28"/>
          <w:szCs w:val="28"/>
          <w:highlight w:val="none"/>
          <w:shd w:val="clear" w:color="auto" w:fill="FFFFFF"/>
        </w:rPr>
        <w:t>支付注册资本金的10%作为特许经营权</w:t>
      </w:r>
      <w:r>
        <w:rPr>
          <w:rFonts w:hint="eastAsia"/>
          <w:color w:val="auto"/>
          <w:sz w:val="28"/>
          <w:szCs w:val="28"/>
          <w:highlight w:val="none"/>
          <w:shd w:val="clear" w:color="auto" w:fill="FFFFFF"/>
          <w:lang w:val="en-US" w:eastAsia="zh-CN"/>
        </w:rPr>
        <w:t>的</w:t>
      </w:r>
      <w:r>
        <w:rPr>
          <w:rFonts w:hint="eastAsia"/>
          <w:color w:val="auto"/>
          <w:sz w:val="28"/>
          <w:szCs w:val="28"/>
          <w:highlight w:val="none"/>
          <w:shd w:val="clear" w:color="auto" w:fill="FFFFFF"/>
        </w:rPr>
        <w:t>对价。</w:t>
      </w:r>
    </w:p>
    <w:p>
      <w:pPr>
        <w:rPr>
          <w:color w:val="auto"/>
          <w:highlight w:val="none"/>
        </w:rPr>
      </w:pPr>
      <w:bookmarkStart w:id="18" w:name="_Toc312"/>
      <w:r>
        <w:rPr>
          <w:rFonts w:hint="eastAsia"/>
          <w:color w:val="auto"/>
          <w:highlight w:val="none"/>
          <w:lang w:val="en-US" w:eastAsia="zh-CN"/>
        </w:rPr>
        <w:t xml:space="preserve">    </w:t>
      </w:r>
      <w:r>
        <w:rPr>
          <w:rFonts w:hint="eastAsia"/>
          <w:color w:val="auto"/>
          <w:highlight w:val="none"/>
        </w:rPr>
        <w:t>本项目投资金额为7964.6万元，资金来源为企业自筹2475万元，其余采用银行贷款，贷款利率4.9%。</w:t>
      </w:r>
      <w:bookmarkEnd w:id="18"/>
    </w:p>
    <w:p>
      <w:pPr>
        <w:pStyle w:val="3"/>
        <w:rPr>
          <w:color w:val="auto"/>
          <w:highlight w:val="none"/>
        </w:rPr>
      </w:pPr>
      <w:bookmarkStart w:id="19" w:name="_Toc10110"/>
      <w:r>
        <w:rPr>
          <w:rFonts w:hint="eastAsia"/>
          <w:color w:val="auto"/>
          <w:highlight w:val="none"/>
        </w:rPr>
        <w:t>3.2</w:t>
      </w:r>
      <w:r>
        <w:rPr>
          <w:color w:val="auto"/>
          <w:highlight w:val="none"/>
        </w:rPr>
        <w:t>融资规模及资金成本</w:t>
      </w:r>
      <w:bookmarkEnd w:id="19"/>
    </w:p>
    <w:p>
      <w:pPr>
        <w:spacing w:line="480" w:lineRule="auto"/>
        <w:jc w:val="left"/>
        <w:rPr>
          <w:rFonts w:cs="Times New Roman"/>
          <w:color w:val="auto"/>
          <w:szCs w:val="28"/>
          <w:highlight w:val="none"/>
          <w:shd w:val="clear" w:color="auto" w:fill="FFFFFF"/>
        </w:rPr>
      </w:pPr>
      <w:r>
        <w:rPr>
          <w:rFonts w:hint="eastAsia"/>
          <w:color w:val="auto"/>
          <w:highlight w:val="none"/>
        </w:rPr>
        <w:t xml:space="preserve">    本项目贷款金额为</w:t>
      </w:r>
      <w:r>
        <w:rPr>
          <w:rFonts w:hint="eastAsia"/>
          <w:color w:val="auto"/>
          <w:highlight w:val="none"/>
          <w:lang w:val="en-US" w:eastAsia="zh-CN"/>
        </w:rPr>
        <w:t>5489.6</w:t>
      </w:r>
      <w:r>
        <w:rPr>
          <w:rFonts w:hint="eastAsia"/>
          <w:color w:val="auto"/>
          <w:highlight w:val="none"/>
        </w:rPr>
        <w:t>万元，占总投资额的69%，利息费用为71.4万元。</w:t>
      </w: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pStyle w:val="2"/>
        <w:rPr>
          <w:color w:val="auto"/>
          <w:highlight w:val="none"/>
          <w:shd w:val="clear" w:color="auto" w:fill="FFFFFF"/>
        </w:rPr>
      </w:pPr>
      <w:bookmarkStart w:id="20" w:name="_Toc5372"/>
      <w:r>
        <w:rPr>
          <w:rFonts w:hint="eastAsia"/>
          <w:color w:val="auto"/>
          <w:highlight w:val="none"/>
          <w:shd w:val="clear" w:color="auto" w:fill="FFFFFF"/>
        </w:rPr>
        <w:t>4.</w:t>
      </w:r>
      <w:r>
        <w:rPr>
          <w:color w:val="auto"/>
          <w:highlight w:val="none"/>
          <w:shd w:val="clear" w:color="auto" w:fill="FFFFFF"/>
        </w:rPr>
        <w:t>管道燃气公共服务的质量效率</w:t>
      </w:r>
      <w:bookmarkEnd w:id="20"/>
    </w:p>
    <w:p>
      <w:pPr>
        <w:pStyle w:val="3"/>
        <w:rPr>
          <w:color w:val="auto"/>
          <w:highlight w:val="none"/>
        </w:rPr>
      </w:pPr>
      <w:bookmarkStart w:id="21" w:name="_Toc16175"/>
      <w:r>
        <w:rPr>
          <w:rFonts w:hint="eastAsia"/>
          <w:color w:val="auto"/>
          <w:highlight w:val="none"/>
        </w:rPr>
        <w:t>4.1气源的保障</w:t>
      </w:r>
      <w:bookmarkEnd w:id="21"/>
    </w:p>
    <w:p>
      <w:pPr>
        <w:rPr>
          <w:color w:val="auto"/>
          <w:highlight w:val="none"/>
        </w:rPr>
      </w:pPr>
      <w:r>
        <w:rPr>
          <w:rFonts w:hint="eastAsia"/>
          <w:color w:val="auto"/>
          <w:highlight w:val="none"/>
        </w:rPr>
        <w:t>4.1.1LNG气源</w:t>
      </w:r>
    </w:p>
    <w:p>
      <w:pPr>
        <w:ind w:firstLine="560"/>
        <w:rPr>
          <w:color w:val="auto"/>
          <w:highlight w:val="none"/>
        </w:rPr>
      </w:pPr>
      <w:r>
        <w:rPr>
          <w:rFonts w:hint="eastAsia"/>
          <w:color w:val="auto"/>
          <w:highlight w:val="none"/>
        </w:rPr>
        <w:t xml:space="preserve"> 广东省域内</w:t>
      </w:r>
      <w:r>
        <w:rPr>
          <w:color w:val="auto"/>
          <w:highlight w:val="none"/>
        </w:rPr>
        <w:t>LNG</w:t>
      </w:r>
      <w:r>
        <w:rPr>
          <w:rFonts w:hint="eastAsia"/>
          <w:color w:val="auto"/>
          <w:highlight w:val="none"/>
        </w:rPr>
        <w:t>资源丰富。省内天然气气源目前有深圳大鹏</w:t>
      </w:r>
      <w:r>
        <w:rPr>
          <w:color w:val="auto"/>
          <w:highlight w:val="none"/>
        </w:rPr>
        <w:t>LNG</w:t>
      </w:r>
      <w:r>
        <w:rPr>
          <w:rFonts w:hint="eastAsia"/>
          <w:color w:val="auto"/>
          <w:highlight w:val="none"/>
        </w:rPr>
        <w:t>（</w:t>
      </w:r>
      <w:r>
        <w:rPr>
          <w:color w:val="auto"/>
          <w:highlight w:val="none"/>
        </w:rPr>
        <w:t>40</w:t>
      </w:r>
      <w:r>
        <w:rPr>
          <w:rFonts w:hint="eastAsia"/>
          <w:color w:val="auto"/>
          <w:highlight w:val="none"/>
        </w:rPr>
        <w:t>万吨</w:t>
      </w:r>
      <w:r>
        <w:rPr>
          <w:color w:val="auto"/>
          <w:highlight w:val="none"/>
        </w:rPr>
        <w:t>/</w:t>
      </w:r>
      <w:r>
        <w:rPr>
          <w:rFonts w:hint="eastAsia"/>
          <w:color w:val="auto"/>
          <w:highlight w:val="none"/>
        </w:rPr>
        <w:t>年），新疆广汇</w:t>
      </w:r>
      <w:r>
        <w:rPr>
          <w:color w:val="auto"/>
          <w:highlight w:val="none"/>
        </w:rPr>
        <w:t>LNG</w:t>
      </w:r>
      <w:r>
        <w:rPr>
          <w:rFonts w:hint="eastAsia"/>
          <w:color w:val="auto"/>
          <w:highlight w:val="none"/>
        </w:rPr>
        <w:t>（</w:t>
      </w:r>
      <w:r>
        <w:rPr>
          <w:color w:val="auto"/>
          <w:highlight w:val="none"/>
        </w:rPr>
        <w:t>204</w:t>
      </w:r>
      <w:r>
        <w:rPr>
          <w:rFonts w:hint="eastAsia"/>
          <w:color w:val="auto"/>
          <w:highlight w:val="none"/>
        </w:rPr>
        <w:t>万吨</w:t>
      </w:r>
      <w:r>
        <w:rPr>
          <w:color w:val="auto"/>
          <w:highlight w:val="none"/>
        </w:rPr>
        <w:t>/</w:t>
      </w:r>
      <w:r>
        <w:rPr>
          <w:rFonts w:hint="eastAsia"/>
          <w:color w:val="auto"/>
          <w:highlight w:val="none"/>
        </w:rPr>
        <w:t>年）及以及珠海高栏港、内蒙古和宁夏等西北地区的LNG。考虑投资回报率后，选择深圳大鹏</w:t>
      </w:r>
      <w:r>
        <w:rPr>
          <w:color w:val="auto"/>
          <w:highlight w:val="none"/>
        </w:rPr>
        <w:t>LNG</w:t>
      </w:r>
      <w:r>
        <w:rPr>
          <w:rFonts w:hint="eastAsia"/>
          <w:color w:val="auto"/>
          <w:highlight w:val="none"/>
        </w:rPr>
        <w:t>为阳山县</w:t>
      </w:r>
      <w:r>
        <w:rPr>
          <w:color w:val="auto"/>
          <w:highlight w:val="none"/>
        </w:rPr>
        <w:t>LNG主</w:t>
      </w:r>
      <w:r>
        <w:rPr>
          <w:rFonts w:hint="eastAsia"/>
          <w:color w:val="auto"/>
          <w:highlight w:val="none"/>
        </w:rPr>
        <w:t>气源最为合适，新疆广汇</w:t>
      </w:r>
      <w:r>
        <w:rPr>
          <w:color w:val="auto"/>
          <w:highlight w:val="none"/>
        </w:rPr>
        <w:t>LNG</w:t>
      </w:r>
      <w:r>
        <w:rPr>
          <w:rFonts w:hint="eastAsia"/>
          <w:color w:val="auto"/>
          <w:highlight w:val="none"/>
        </w:rPr>
        <w:t>、珠海高栏港、内蒙古和宁夏等西北地区的LNG作为为</w:t>
      </w:r>
      <w:r>
        <w:rPr>
          <w:color w:val="auto"/>
          <w:highlight w:val="none"/>
        </w:rPr>
        <w:t>LNG</w:t>
      </w:r>
      <w:r>
        <w:rPr>
          <w:rFonts w:hint="eastAsia"/>
          <w:color w:val="auto"/>
          <w:highlight w:val="none"/>
        </w:rPr>
        <w:t>辅助气源。</w:t>
      </w:r>
      <w:r>
        <w:rPr>
          <w:color w:val="auto"/>
          <w:highlight w:val="none"/>
        </w:rPr>
        <w:t xml:space="preserve"> </w:t>
      </w:r>
    </w:p>
    <w:p>
      <w:pPr>
        <w:rPr>
          <w:color w:val="auto"/>
          <w:highlight w:val="none"/>
        </w:rPr>
      </w:pPr>
      <w:r>
        <w:rPr>
          <w:rFonts w:hint="eastAsia"/>
          <w:color w:val="auto"/>
          <w:highlight w:val="none"/>
        </w:rPr>
        <w:t>4.2.2管输天然气</w:t>
      </w:r>
    </w:p>
    <w:p>
      <w:pPr>
        <w:autoSpaceDE w:val="0"/>
        <w:autoSpaceDN w:val="0"/>
        <w:adjustRightInd w:val="0"/>
        <w:jc w:val="left"/>
        <w:rPr>
          <w:color w:val="auto"/>
          <w:highlight w:val="none"/>
        </w:rPr>
      </w:pPr>
      <w:r>
        <w:rPr>
          <w:rFonts w:hint="eastAsia"/>
          <w:color w:val="auto"/>
          <w:highlight w:val="none"/>
        </w:rPr>
        <w:t xml:space="preserve">    根据阳山县的地理位置和周围可用管道气源的调查，可行的天然气气源为“西气东输二线”天然气。</w:t>
      </w:r>
    </w:p>
    <w:p>
      <w:pPr>
        <w:ind w:firstLine="560"/>
        <w:rPr>
          <w:color w:val="auto"/>
          <w:highlight w:val="none"/>
        </w:rPr>
      </w:pPr>
      <w:r>
        <w:rPr>
          <w:rFonts w:hint="eastAsia"/>
          <w:color w:val="auto"/>
          <w:highlight w:val="none"/>
        </w:rPr>
        <w:t>“</w:t>
      </w:r>
      <w:r>
        <w:rPr>
          <w:color w:val="auto"/>
          <w:highlight w:val="none"/>
        </w:rPr>
        <w:t>西气东输二线项目</w:t>
      </w:r>
      <w:r>
        <w:rPr>
          <w:rFonts w:hint="eastAsia"/>
          <w:color w:val="auto"/>
          <w:highlight w:val="none"/>
        </w:rPr>
        <w:t>”</w:t>
      </w:r>
      <w:r>
        <w:rPr>
          <w:color w:val="auto"/>
          <w:highlight w:val="none"/>
        </w:rPr>
        <w:t>是</w:t>
      </w:r>
      <w:r>
        <w:rPr>
          <w:rFonts w:hint="eastAsia"/>
          <w:color w:val="auto"/>
          <w:highlight w:val="none"/>
        </w:rPr>
        <w:t>为</w:t>
      </w:r>
      <w:r>
        <w:rPr>
          <w:color w:val="auto"/>
          <w:highlight w:val="none"/>
        </w:rPr>
        <w:t>引进利用中亚天然气资源</w:t>
      </w:r>
      <w:r>
        <w:rPr>
          <w:rFonts w:hint="eastAsia"/>
          <w:color w:val="auto"/>
          <w:highlight w:val="none"/>
        </w:rPr>
        <w:t>弥补我国东、南部天然气资源不足而</w:t>
      </w:r>
      <w:r>
        <w:rPr>
          <w:rFonts w:hint="eastAsia"/>
          <w:color w:val="auto"/>
          <w:highlight w:val="none"/>
          <w:lang w:eastAsia="zh-CN"/>
        </w:rPr>
        <w:t>做</w:t>
      </w:r>
      <w:r>
        <w:rPr>
          <w:color w:val="auto"/>
          <w:highlight w:val="none"/>
        </w:rPr>
        <w:t>出的重大</w:t>
      </w:r>
      <w:r>
        <w:rPr>
          <w:rFonts w:hint="eastAsia"/>
          <w:color w:val="auto"/>
          <w:highlight w:val="none"/>
        </w:rPr>
        <w:t>战略</w:t>
      </w:r>
      <w:r>
        <w:rPr>
          <w:color w:val="auto"/>
          <w:highlight w:val="none"/>
        </w:rPr>
        <w:t>决策。这条干、支线全长9000多km，途经14个省区市的能源大动脉，西起新疆霍尔果斯，南至广州、东达上海，境外与横跨三国、同步建设的中亚天然气管道相连，年输气量300亿m</w:t>
      </w:r>
      <w:r>
        <w:rPr>
          <w:color w:val="auto"/>
          <w:highlight w:val="none"/>
          <w:vertAlign w:val="superscript"/>
        </w:rPr>
        <w:t>3</w:t>
      </w:r>
      <w:r>
        <w:rPr>
          <w:color w:val="auto"/>
          <w:highlight w:val="none"/>
        </w:rPr>
        <w:t>，稳定供气30年以上</w:t>
      </w:r>
      <w:r>
        <w:rPr>
          <w:rFonts w:hint="eastAsia"/>
          <w:color w:val="auto"/>
          <w:highlight w:val="none"/>
        </w:rPr>
        <w:t>。目前该工程主干管部分已基本建设完成，至广东的主干管已经通气，再由广东省天然气管网有限公司（以下简称省网公司）负责将主干管里的天然气以支线分输至广东省各个城市门站。</w:t>
      </w:r>
    </w:p>
    <w:p>
      <w:pPr>
        <w:ind w:firstLine="560"/>
        <w:rPr>
          <w:color w:val="auto"/>
          <w:highlight w:val="none"/>
        </w:rPr>
      </w:pPr>
      <w:r>
        <w:rPr>
          <w:rFonts w:hint="eastAsia"/>
          <w:color w:val="auto"/>
          <w:highlight w:val="none"/>
        </w:rPr>
        <w:t>按照广东省天然气主干管网规划，省网公司未来将在广东省规划建设包括珠三角、粤东、粤北、粤西四大区域管网，形成完善的覆盖广东地区的天然气主干管网。建成后的广东管网，将实现广东省进口液化天然气、海上天然气、西气、川气等多气源供应管网，形成广东地区统筹规划，统一管理，统一调配，安全平稳供气的格局。目前“西二线”清远支线和南宁支线已竣工通气，为阳山县获得长期稳定气源打下良好基础。</w:t>
      </w:r>
    </w:p>
    <w:p>
      <w:pPr>
        <w:autoSpaceDE w:val="0"/>
        <w:autoSpaceDN w:val="0"/>
        <w:adjustRightInd w:val="0"/>
        <w:jc w:val="left"/>
        <w:rPr>
          <w:color w:val="auto"/>
          <w:highlight w:val="none"/>
        </w:rPr>
      </w:pPr>
      <w:r>
        <w:rPr>
          <w:rFonts w:hint="eastAsia"/>
          <w:color w:val="auto"/>
          <w:highlight w:val="none"/>
        </w:rPr>
        <w:t xml:space="preserve">  综</w:t>
      </w:r>
      <w:r>
        <w:rPr>
          <w:color w:val="auto"/>
          <w:highlight w:val="none"/>
        </w:rPr>
        <w:t>上所述</w:t>
      </w:r>
      <w:r>
        <w:rPr>
          <w:rFonts w:hint="eastAsia"/>
          <w:color w:val="auto"/>
          <w:highlight w:val="none"/>
        </w:rPr>
        <w:t>，</w:t>
      </w:r>
      <w:r>
        <w:rPr>
          <w:color w:val="auto"/>
          <w:highlight w:val="none"/>
        </w:rPr>
        <w:t>阳山县近远期天然气气源都</w:t>
      </w:r>
      <w:r>
        <w:rPr>
          <w:rFonts w:hint="eastAsia"/>
          <w:color w:val="auto"/>
          <w:highlight w:val="none"/>
        </w:rPr>
        <w:t>可以获得</w:t>
      </w:r>
      <w:r>
        <w:rPr>
          <w:color w:val="auto"/>
          <w:highlight w:val="none"/>
        </w:rPr>
        <w:t>足够的保障</w:t>
      </w:r>
      <w:r>
        <w:rPr>
          <w:rFonts w:hint="eastAsia"/>
          <w:color w:val="auto"/>
          <w:highlight w:val="none"/>
        </w:rPr>
        <w:t>。</w:t>
      </w:r>
    </w:p>
    <w:p>
      <w:pPr>
        <w:pStyle w:val="3"/>
        <w:rPr>
          <w:color w:val="auto"/>
          <w:highlight w:val="none"/>
        </w:rPr>
      </w:pPr>
      <w:bookmarkStart w:id="22" w:name="_Toc19651"/>
      <w:r>
        <w:rPr>
          <w:rFonts w:hint="eastAsia"/>
          <w:color w:val="auto"/>
          <w:highlight w:val="none"/>
        </w:rPr>
        <w:t>4.2</w:t>
      </w:r>
      <w:r>
        <w:rPr>
          <w:color w:val="auto"/>
          <w:highlight w:val="none"/>
        </w:rPr>
        <w:t>产品质量的保障</w:t>
      </w:r>
      <w:bookmarkEnd w:id="22"/>
    </w:p>
    <w:p>
      <w:pPr>
        <w:autoSpaceDE w:val="0"/>
        <w:autoSpaceDN w:val="0"/>
        <w:adjustRightInd w:val="0"/>
        <w:snapToGrid w:val="0"/>
        <w:spacing w:line="600" w:lineRule="exact"/>
        <w:ind w:firstLine="560" w:firstLineChars="200"/>
        <w:rPr>
          <w:color w:val="auto"/>
          <w:highlight w:val="none"/>
        </w:rPr>
      </w:pPr>
      <w:r>
        <w:rPr>
          <w:rFonts w:hint="eastAsia"/>
          <w:color w:val="auto"/>
          <w:highlight w:val="none"/>
        </w:rPr>
        <w:t>产品质量：特许经营</w:t>
      </w:r>
      <w:r>
        <w:rPr>
          <w:rFonts w:hint="eastAsia"/>
          <w:color w:val="auto"/>
          <w:highlight w:val="none"/>
          <w:lang w:eastAsia="zh-CN"/>
        </w:rPr>
        <w:t>者</w:t>
      </w:r>
      <w:r>
        <w:rPr>
          <w:rFonts w:hint="eastAsia"/>
          <w:color w:val="auto"/>
          <w:highlight w:val="none"/>
        </w:rPr>
        <w:t>应当建立健全燃气质量检测制度，确保其向用户所供应的燃气质量、管输和灶前压力、燃烧热值、华白指数、燃气加臭等方面符合国家及地方相关法规、标准规定的质量要求。</w:t>
      </w:r>
    </w:p>
    <w:p>
      <w:pPr>
        <w:spacing w:before="156" w:beforeLines="50" w:after="156" w:afterLines="50" w:line="600" w:lineRule="exact"/>
        <w:ind w:firstLine="560" w:firstLineChars="200"/>
        <w:rPr>
          <w:color w:val="auto"/>
          <w:highlight w:val="none"/>
        </w:rPr>
      </w:pPr>
      <w:r>
        <w:rPr>
          <w:rFonts w:hint="eastAsia"/>
          <w:color w:val="auto"/>
          <w:highlight w:val="none"/>
        </w:rPr>
        <w:t>具体来说，特许经营</w:t>
      </w:r>
      <w:r>
        <w:rPr>
          <w:rFonts w:hint="eastAsia"/>
          <w:color w:val="auto"/>
          <w:highlight w:val="none"/>
          <w:lang w:eastAsia="zh-CN"/>
        </w:rPr>
        <w:t>者</w:t>
      </w:r>
      <w:r>
        <w:rPr>
          <w:rFonts w:hint="eastAsia"/>
          <w:color w:val="auto"/>
          <w:highlight w:val="none"/>
        </w:rPr>
        <w:t>所供应的管道燃气的质量应符合以下标准：</w:t>
      </w:r>
    </w:p>
    <w:p>
      <w:pPr>
        <w:spacing w:before="156" w:beforeLines="50" w:after="156" w:afterLines="50" w:line="600" w:lineRule="exact"/>
        <w:rPr>
          <w:color w:val="auto"/>
          <w:highlight w:val="none"/>
        </w:rPr>
      </w:pPr>
      <w:r>
        <w:rPr>
          <w:rFonts w:hint="eastAsia"/>
          <w:color w:val="auto"/>
          <w:highlight w:val="none"/>
          <w:lang w:val="en-US" w:eastAsia="zh-CN"/>
        </w:rPr>
        <w:t xml:space="preserve">   </w:t>
      </w:r>
      <w:r>
        <w:rPr>
          <w:rFonts w:hint="eastAsia"/>
          <w:color w:val="auto"/>
          <w:highlight w:val="none"/>
        </w:rPr>
        <w:t>（1）目前天然气气体质量应符合国家现行《天然气》（GB17820）中的相关标准；</w:t>
      </w:r>
    </w:p>
    <w:p>
      <w:pPr>
        <w:spacing w:before="156" w:beforeLines="50" w:after="156" w:afterLines="50" w:line="600" w:lineRule="exact"/>
        <w:rPr>
          <w:color w:val="auto"/>
          <w:highlight w:val="none"/>
        </w:rPr>
      </w:pPr>
      <w:r>
        <w:rPr>
          <w:rFonts w:hint="eastAsia"/>
          <w:color w:val="auto"/>
          <w:highlight w:val="none"/>
          <w:lang w:val="en-US" w:eastAsia="zh-CN"/>
        </w:rPr>
        <w:t xml:space="preserve">   </w:t>
      </w:r>
      <w:r>
        <w:rPr>
          <w:rFonts w:hint="eastAsia"/>
          <w:color w:val="auto"/>
          <w:highlight w:val="none"/>
        </w:rPr>
        <w:t>（2）燃气加臭应符合国家现行《城镇燃气设计规范》（GB50028）的标准；</w:t>
      </w:r>
    </w:p>
    <w:p>
      <w:pPr>
        <w:spacing w:before="156" w:beforeLines="50" w:after="156" w:afterLines="50" w:line="600" w:lineRule="exact"/>
        <w:rPr>
          <w:color w:val="auto"/>
          <w:highlight w:val="none"/>
        </w:rPr>
      </w:pPr>
      <w:r>
        <w:rPr>
          <w:rFonts w:hint="eastAsia"/>
          <w:color w:val="auto"/>
          <w:highlight w:val="none"/>
          <w:lang w:val="en-US" w:eastAsia="zh-CN"/>
        </w:rPr>
        <w:t xml:space="preserve">   </w:t>
      </w:r>
      <w:r>
        <w:rPr>
          <w:rFonts w:hint="eastAsia"/>
          <w:color w:val="auto"/>
          <w:highlight w:val="none"/>
        </w:rPr>
        <w:t>（3）管道燃气的供气压力应符合国家现行《城镇燃气设计规范》（GB50028）的标准。</w:t>
      </w:r>
    </w:p>
    <w:p>
      <w:pPr>
        <w:pStyle w:val="3"/>
        <w:rPr>
          <w:color w:val="auto"/>
          <w:highlight w:val="none"/>
        </w:rPr>
      </w:pPr>
      <w:bookmarkStart w:id="23" w:name="_Toc4846"/>
      <w:r>
        <w:rPr>
          <w:rFonts w:hint="eastAsia"/>
          <w:color w:val="auto"/>
          <w:highlight w:val="none"/>
        </w:rPr>
        <w:t>4.3服务质量</w:t>
      </w:r>
      <w:bookmarkEnd w:id="23"/>
    </w:p>
    <w:p>
      <w:pPr>
        <w:rPr>
          <w:rFonts w:hint="eastAsia"/>
          <w:color w:val="auto"/>
          <w:highlight w:val="none"/>
        </w:rPr>
      </w:pPr>
      <w:r>
        <w:rPr>
          <w:rFonts w:hint="eastAsia"/>
          <w:color w:val="auto"/>
          <w:highlight w:val="none"/>
          <w:lang w:val="en-US" w:eastAsia="zh-CN"/>
        </w:rPr>
        <w:t xml:space="preserve">   </w:t>
      </w:r>
      <w:r>
        <w:rPr>
          <w:rFonts w:hint="eastAsia"/>
          <w:color w:val="auto"/>
          <w:highlight w:val="none"/>
        </w:rPr>
        <w:t>（1）特许经营</w:t>
      </w:r>
      <w:r>
        <w:rPr>
          <w:rFonts w:hint="eastAsia"/>
          <w:color w:val="auto"/>
          <w:highlight w:val="none"/>
          <w:lang w:eastAsia="zh-CN"/>
        </w:rPr>
        <w:t>者</w:t>
      </w:r>
      <w:r>
        <w:rPr>
          <w:rFonts w:hint="eastAsia"/>
          <w:color w:val="auto"/>
          <w:highlight w:val="none"/>
        </w:rPr>
        <w:t>应当根据用户的实际需要向用户提供业务热线、用户维修服务网点、营业接待、定期抄表、设施安装检修等综合服务。</w:t>
      </w:r>
    </w:p>
    <w:p>
      <w:pPr>
        <w:rPr>
          <w:color w:val="auto"/>
          <w:highlight w:val="none"/>
        </w:rPr>
      </w:pPr>
      <w:r>
        <w:rPr>
          <w:rFonts w:hint="eastAsia"/>
          <w:color w:val="auto"/>
          <w:highlight w:val="none"/>
          <w:lang w:val="en-US" w:eastAsia="zh-CN"/>
        </w:rPr>
        <w:t xml:space="preserve">   </w:t>
      </w:r>
      <w:r>
        <w:rPr>
          <w:rFonts w:hint="eastAsia"/>
          <w:color w:val="auto"/>
          <w:highlight w:val="none"/>
        </w:rPr>
        <w:t>（2）特许经营</w:t>
      </w:r>
      <w:r>
        <w:rPr>
          <w:rFonts w:hint="eastAsia"/>
          <w:color w:val="auto"/>
          <w:highlight w:val="none"/>
          <w:lang w:eastAsia="zh-CN"/>
        </w:rPr>
        <w:t>者</w:t>
      </w:r>
      <w:r>
        <w:rPr>
          <w:rFonts w:hint="eastAsia"/>
          <w:color w:val="auto"/>
          <w:highlight w:val="none"/>
        </w:rPr>
        <w:t>应向社会公众公布用气申请程序，并有义务向办理用气申请手续的用户提供咨询服务，并向社会公众公开各项服务指标与承诺、抄表与缴费期限和程序、服务电话（业务、报修、投诉）等，公开燃气价格、维修服务价格等收费项目和标准，全面接受社会公众的监督。</w:t>
      </w:r>
    </w:p>
    <w:p>
      <w:pPr>
        <w:pStyle w:val="3"/>
        <w:rPr>
          <w:color w:val="auto"/>
          <w:highlight w:val="none"/>
        </w:rPr>
      </w:pPr>
      <w:bookmarkStart w:id="24" w:name="_Toc31082"/>
      <w:r>
        <w:rPr>
          <w:rFonts w:hint="eastAsia"/>
          <w:color w:val="auto"/>
          <w:highlight w:val="none"/>
        </w:rPr>
        <w:t>4.4供气安全</w:t>
      </w:r>
      <w:bookmarkEnd w:id="24"/>
    </w:p>
    <w:p>
      <w:pPr>
        <w:autoSpaceDE w:val="0"/>
        <w:autoSpaceDN w:val="0"/>
        <w:adjustRightInd w:val="0"/>
        <w:jc w:val="left"/>
        <w:rPr>
          <w:color w:val="auto"/>
          <w:szCs w:val="28"/>
          <w:highlight w:val="none"/>
          <w:shd w:val="clear" w:color="auto" w:fill="FFFFFF"/>
        </w:rPr>
      </w:pPr>
      <w:r>
        <w:rPr>
          <w:rFonts w:hint="eastAsia" w:cs="Times New Roman"/>
          <w:color w:val="auto"/>
          <w:kern w:val="0"/>
          <w:szCs w:val="28"/>
          <w:highlight w:val="none"/>
          <w:shd w:val="clear" w:color="auto" w:fill="FFFFFF"/>
          <w:lang w:val="en-US" w:eastAsia="zh-CN"/>
        </w:rPr>
        <w:t xml:space="preserve">    </w:t>
      </w:r>
      <w:r>
        <w:rPr>
          <w:rFonts w:hint="eastAsia" w:cs="Times New Roman"/>
          <w:color w:val="auto"/>
          <w:kern w:val="0"/>
          <w:szCs w:val="28"/>
          <w:highlight w:val="none"/>
          <w:shd w:val="clear" w:color="auto" w:fill="FFFFFF"/>
        </w:rPr>
        <w:t>管道燃气</w:t>
      </w:r>
      <w:r>
        <w:rPr>
          <w:color w:val="auto"/>
          <w:szCs w:val="28"/>
          <w:highlight w:val="none"/>
          <w:shd w:val="clear" w:color="auto" w:fill="FFFFFF"/>
        </w:rPr>
        <w:t>特许经营</w:t>
      </w:r>
      <w:r>
        <w:rPr>
          <w:rFonts w:hint="eastAsia"/>
          <w:color w:val="auto"/>
          <w:szCs w:val="28"/>
          <w:highlight w:val="none"/>
          <w:shd w:val="clear" w:color="auto" w:fill="FFFFFF"/>
          <w:lang w:eastAsia="zh-CN"/>
        </w:rPr>
        <w:t>者</w:t>
      </w:r>
      <w:r>
        <w:rPr>
          <w:rFonts w:hint="eastAsia"/>
          <w:color w:val="auto"/>
          <w:szCs w:val="28"/>
          <w:highlight w:val="none"/>
          <w:shd w:val="clear" w:color="auto" w:fill="FFFFFF"/>
        </w:rPr>
        <w:t>严格遵守国家和地方有关安全的法律、法规、规章及政策性文件，承诺燃气供应、运行、质量、安全、服务符合国家、行业和地方相关标准，依法对特许经营区域内的管道燃气供气安全、公共安全和安全使用宣传负责。</w:t>
      </w:r>
    </w:p>
    <w:p>
      <w:pPr>
        <w:autoSpaceDE w:val="0"/>
        <w:autoSpaceDN w:val="0"/>
        <w:adjustRightInd w:val="0"/>
        <w:ind w:firstLine="560"/>
        <w:jc w:val="left"/>
        <w:rPr>
          <w:color w:val="auto"/>
          <w:szCs w:val="28"/>
          <w:highlight w:val="none"/>
          <w:shd w:val="clear" w:color="auto" w:fill="FFFFFF"/>
        </w:rPr>
      </w:pPr>
      <w:r>
        <w:rPr>
          <w:rFonts w:hint="eastAsia" w:cs="Times New Roman"/>
          <w:color w:val="auto"/>
          <w:kern w:val="0"/>
          <w:szCs w:val="28"/>
          <w:highlight w:val="none"/>
          <w:shd w:val="clear" w:color="auto" w:fill="FFFFFF"/>
        </w:rPr>
        <w:t>管道燃气</w:t>
      </w:r>
      <w:r>
        <w:rPr>
          <w:color w:val="auto"/>
          <w:szCs w:val="28"/>
          <w:highlight w:val="none"/>
          <w:shd w:val="clear" w:color="auto" w:fill="FFFFFF"/>
        </w:rPr>
        <w:t>特许经营</w:t>
      </w:r>
      <w:r>
        <w:rPr>
          <w:rFonts w:hint="eastAsia"/>
          <w:color w:val="auto"/>
          <w:szCs w:val="28"/>
          <w:highlight w:val="none"/>
          <w:shd w:val="clear" w:color="auto" w:fill="FFFFFF"/>
          <w:lang w:eastAsia="zh-CN"/>
        </w:rPr>
        <w:t>者</w:t>
      </w:r>
      <w:r>
        <w:rPr>
          <w:rFonts w:hint="eastAsia"/>
          <w:color w:val="auto"/>
          <w:szCs w:val="28"/>
          <w:highlight w:val="none"/>
          <w:shd w:val="clear" w:color="auto" w:fill="FFFFFF"/>
        </w:rPr>
        <w:t>应建立和完善安全生产责任制度，建立安全生产保证体系，保障燃气安全和稳定供应、运行和服务，防止责任事故发生；</w:t>
      </w:r>
      <w:r>
        <w:rPr>
          <w:color w:val="auto"/>
          <w:szCs w:val="28"/>
          <w:highlight w:val="none"/>
          <w:shd w:val="clear" w:color="auto" w:fill="FFFFFF"/>
        </w:rPr>
        <w:br w:type="textWrapping"/>
      </w:r>
      <w:r>
        <w:rPr>
          <w:rFonts w:hint="eastAsia"/>
          <w:color w:val="auto"/>
          <w:szCs w:val="28"/>
          <w:highlight w:val="none"/>
          <w:shd w:val="clear" w:color="auto" w:fill="FFFFFF"/>
        </w:rPr>
        <w:t>对出现燃气事故和在事故期间，</w:t>
      </w:r>
      <w:r>
        <w:rPr>
          <w:rFonts w:hint="eastAsia" w:cs="Times New Roman"/>
          <w:color w:val="auto"/>
          <w:kern w:val="0"/>
          <w:szCs w:val="28"/>
          <w:highlight w:val="none"/>
          <w:shd w:val="clear" w:color="auto" w:fill="FFFFFF"/>
        </w:rPr>
        <w:t>管道燃气</w:t>
      </w:r>
      <w:r>
        <w:rPr>
          <w:color w:val="auto"/>
          <w:szCs w:val="28"/>
          <w:highlight w:val="none"/>
          <w:shd w:val="clear" w:color="auto" w:fill="FFFFFF"/>
        </w:rPr>
        <w:t>特许经营</w:t>
      </w:r>
      <w:r>
        <w:rPr>
          <w:rFonts w:hint="eastAsia"/>
          <w:color w:val="auto"/>
          <w:szCs w:val="28"/>
          <w:highlight w:val="none"/>
          <w:shd w:val="clear" w:color="auto" w:fill="FFFFFF"/>
          <w:lang w:eastAsia="zh-CN"/>
        </w:rPr>
        <w:t>者</w:t>
      </w:r>
      <w:r>
        <w:rPr>
          <w:rFonts w:hint="eastAsia"/>
          <w:color w:val="auto"/>
          <w:szCs w:val="28"/>
          <w:highlight w:val="none"/>
          <w:shd w:val="clear" w:color="auto" w:fill="FFFFFF"/>
        </w:rPr>
        <w:t>应采取各种应急措施进行补救，尽量减少事故对用户和社会公众的影响，同时必须按照国家有关安全管理规定向有关部门报告。</w:t>
      </w:r>
      <w:r>
        <w:rPr>
          <w:color w:val="auto"/>
          <w:szCs w:val="28"/>
          <w:highlight w:val="none"/>
          <w:shd w:val="clear" w:color="auto" w:fill="FFFFFF"/>
        </w:rPr>
        <w:br w:type="textWrapping"/>
      </w:r>
      <w:r>
        <w:rPr>
          <w:rFonts w:hint="eastAsia"/>
          <w:color w:val="auto"/>
          <w:szCs w:val="28"/>
          <w:highlight w:val="none"/>
          <w:shd w:val="clear" w:color="auto" w:fill="FFFFFF"/>
        </w:rPr>
        <w:t>　　</w:t>
      </w:r>
      <w:r>
        <w:rPr>
          <w:rFonts w:hint="eastAsia" w:cs="Times New Roman"/>
          <w:color w:val="auto"/>
          <w:kern w:val="0"/>
          <w:szCs w:val="28"/>
          <w:highlight w:val="none"/>
          <w:shd w:val="clear" w:color="auto" w:fill="FFFFFF"/>
        </w:rPr>
        <w:t>管道燃气</w:t>
      </w:r>
      <w:r>
        <w:rPr>
          <w:color w:val="auto"/>
          <w:szCs w:val="28"/>
          <w:highlight w:val="none"/>
          <w:shd w:val="clear" w:color="auto" w:fill="FFFFFF"/>
        </w:rPr>
        <w:t>特许经营</w:t>
      </w:r>
      <w:r>
        <w:rPr>
          <w:rFonts w:hint="eastAsia"/>
          <w:color w:val="auto"/>
          <w:szCs w:val="28"/>
          <w:highlight w:val="none"/>
          <w:shd w:val="clear" w:color="auto" w:fill="FFFFFF"/>
          <w:lang w:eastAsia="zh-CN"/>
        </w:rPr>
        <w:t>者</w:t>
      </w:r>
      <w:r>
        <w:rPr>
          <w:rFonts w:hint="eastAsia"/>
          <w:color w:val="auto"/>
          <w:szCs w:val="28"/>
          <w:highlight w:val="none"/>
          <w:shd w:val="clear" w:color="auto" w:fill="FFFFFF"/>
        </w:rPr>
        <w:t>要加强燃气安全巡检，消除安全隐患，对危及燃气设施安全的案情应及时制止，并报告有关部门，同时应进行宣传、解释、劝阻和书面告知违反规定的单位或个人进行整改。对逾期不改的，书面向甲方或行政执法部门报告。</w:t>
      </w:r>
    </w:p>
    <w:p>
      <w:pPr>
        <w:rPr>
          <w:color w:val="auto"/>
          <w:highlight w:val="none"/>
        </w:rPr>
      </w:pPr>
      <w:r>
        <w:rPr>
          <w:rFonts w:hint="eastAsia" w:cs="Times New Roman"/>
          <w:color w:val="auto"/>
          <w:kern w:val="0"/>
          <w:szCs w:val="28"/>
          <w:highlight w:val="none"/>
          <w:shd w:val="clear" w:color="auto" w:fill="FFFFFF"/>
        </w:rPr>
        <w:t xml:space="preserve">    管道燃气</w:t>
      </w:r>
      <w:r>
        <w:rPr>
          <w:color w:val="auto"/>
          <w:szCs w:val="28"/>
          <w:highlight w:val="none"/>
          <w:shd w:val="clear" w:color="auto" w:fill="FFFFFF"/>
        </w:rPr>
        <w:t>特许经营</w:t>
      </w:r>
      <w:r>
        <w:rPr>
          <w:rFonts w:hint="eastAsia"/>
          <w:color w:val="auto"/>
          <w:szCs w:val="28"/>
          <w:highlight w:val="none"/>
          <w:shd w:val="clear" w:color="auto" w:fill="FFFFFF"/>
          <w:lang w:eastAsia="zh-CN"/>
        </w:rPr>
        <w:t>者</w:t>
      </w:r>
      <w:r>
        <w:rPr>
          <w:rFonts w:hint="eastAsia"/>
          <w:color w:val="auto"/>
          <w:szCs w:val="28"/>
          <w:highlight w:val="none"/>
          <w:shd w:val="clear" w:color="auto" w:fill="FFFFFF"/>
        </w:rPr>
        <w:t>应严格执行《城镇燃气设施运行、维护和抢修安全技术规程》</w:t>
      </w:r>
      <w:r>
        <w:rPr>
          <w:rFonts w:hint="eastAsia"/>
          <w:color w:val="auto"/>
          <w:szCs w:val="28"/>
          <w:highlight w:val="none"/>
          <w:shd w:val="clear" w:color="auto" w:fill="FFFFFF"/>
          <w:lang w:eastAsia="zh-CN"/>
        </w:rPr>
        <w:t>（</w:t>
      </w:r>
      <w:r>
        <w:rPr>
          <w:rFonts w:hint="eastAsia"/>
          <w:color w:val="auto"/>
          <w:szCs w:val="28"/>
          <w:highlight w:val="none"/>
          <w:shd w:val="clear" w:color="auto" w:fill="FFFFFF"/>
          <w:lang w:val="en-US" w:eastAsia="zh-CN"/>
        </w:rPr>
        <w:t>CJJ51)</w:t>
      </w:r>
      <w:r>
        <w:rPr>
          <w:rFonts w:hint="eastAsia"/>
          <w:color w:val="auto"/>
          <w:szCs w:val="28"/>
          <w:highlight w:val="none"/>
          <w:shd w:val="clear" w:color="auto" w:fill="FFFFFF"/>
        </w:rPr>
        <w:t>的规定，严格运行、维护和抢修安全技术程序，对管道燃气设施和用户设施的运行状况及性能进行定期的巡检。必要时（发生自然灾害、重大安全事故等），应对地下燃气管网进行安全质量评估，并将设施运行状况定期报告政府相关部门。</w:t>
      </w:r>
      <w:r>
        <w:rPr>
          <w:rFonts w:hint="eastAsia" w:cs="Times New Roman"/>
          <w:color w:val="auto"/>
          <w:kern w:val="0"/>
          <w:szCs w:val="28"/>
          <w:highlight w:val="none"/>
          <w:shd w:val="clear" w:color="auto" w:fill="FFFFFF"/>
        </w:rPr>
        <w:t>管道燃气</w:t>
      </w:r>
      <w:r>
        <w:rPr>
          <w:color w:val="auto"/>
          <w:szCs w:val="28"/>
          <w:highlight w:val="none"/>
          <w:shd w:val="clear" w:color="auto" w:fill="FFFFFF"/>
        </w:rPr>
        <w:t>特许经营</w:t>
      </w:r>
      <w:r>
        <w:rPr>
          <w:rFonts w:hint="eastAsia"/>
          <w:color w:val="auto"/>
          <w:szCs w:val="28"/>
          <w:highlight w:val="none"/>
          <w:shd w:val="clear" w:color="auto" w:fill="FFFFFF"/>
          <w:lang w:eastAsia="zh-CN"/>
        </w:rPr>
        <w:t>者</w:t>
      </w:r>
      <w:r>
        <w:rPr>
          <w:rFonts w:hint="eastAsia"/>
          <w:color w:val="auto"/>
          <w:szCs w:val="28"/>
          <w:highlight w:val="none"/>
          <w:shd w:val="clear" w:color="auto" w:fill="FFFFFF"/>
        </w:rPr>
        <w:t>应在与用户签订的供用气合同中明确双方的安全责任。</w:t>
      </w:r>
    </w:p>
    <w:p>
      <w:pPr>
        <w:pStyle w:val="3"/>
        <w:rPr>
          <w:rFonts w:hint="eastAsia"/>
          <w:color w:val="auto"/>
          <w:szCs w:val="28"/>
          <w:highlight w:val="none"/>
          <w:shd w:val="clear" w:color="auto" w:fill="FFFFFF"/>
          <w:lang w:val="en-US" w:eastAsia="zh-CN"/>
        </w:rPr>
      </w:pPr>
      <w:bookmarkStart w:id="25" w:name="_Toc18923"/>
      <w:r>
        <w:rPr>
          <w:rFonts w:hint="eastAsia"/>
          <w:color w:val="auto"/>
          <w:highlight w:val="none"/>
        </w:rPr>
        <w:t>4.5</w:t>
      </w:r>
      <w:r>
        <w:rPr>
          <w:color w:val="auto"/>
          <w:highlight w:val="none"/>
        </w:rPr>
        <w:t>产品</w:t>
      </w:r>
      <w:r>
        <w:rPr>
          <w:rFonts w:hint="eastAsia"/>
          <w:color w:val="auto"/>
          <w:highlight w:val="none"/>
        </w:rPr>
        <w:t>价格</w:t>
      </w:r>
      <w:bookmarkEnd w:id="25"/>
      <w:r>
        <w:rPr>
          <w:rFonts w:hint="eastAsia"/>
          <w:color w:val="auto"/>
          <w:szCs w:val="28"/>
          <w:highlight w:val="none"/>
          <w:shd w:val="clear" w:color="auto" w:fill="FFFFFF"/>
          <w:lang w:val="en-US" w:eastAsia="zh-CN"/>
        </w:rPr>
        <w:t xml:space="preserve">  </w:t>
      </w:r>
    </w:p>
    <w:p>
      <w:pPr>
        <w:autoSpaceDE w:val="0"/>
        <w:autoSpaceDN w:val="0"/>
        <w:adjustRightInd w:val="0"/>
        <w:jc w:val="left"/>
        <w:rPr>
          <w:color w:val="auto"/>
          <w:szCs w:val="28"/>
          <w:highlight w:val="none"/>
          <w:shd w:val="clear" w:color="auto" w:fill="FFFFFF"/>
        </w:rPr>
      </w:pPr>
      <w:r>
        <w:rPr>
          <w:rFonts w:hint="eastAsia"/>
          <w:color w:val="auto"/>
          <w:szCs w:val="28"/>
          <w:highlight w:val="none"/>
          <w:shd w:val="clear" w:color="auto" w:fill="FFFFFF"/>
          <w:lang w:val="en-US" w:eastAsia="zh-CN"/>
        </w:rPr>
        <w:t>（</w:t>
      </w:r>
      <w:r>
        <w:rPr>
          <w:rFonts w:hint="eastAsia"/>
          <w:color w:val="auto"/>
          <w:szCs w:val="28"/>
          <w:highlight w:val="none"/>
          <w:shd w:val="clear" w:color="auto" w:fill="FFFFFF"/>
        </w:rPr>
        <w:t>1）管道燃气销售价格执行当地政府物价主管部门批准的销售价格向其服务范围内的用户收取费用。其它有偿服务价格标准亦须经当地政府物价主管部门批准。</w:t>
      </w:r>
    </w:p>
    <w:p>
      <w:pPr>
        <w:autoSpaceDE w:val="0"/>
        <w:autoSpaceDN w:val="0"/>
        <w:adjustRightInd w:val="0"/>
        <w:jc w:val="left"/>
        <w:rPr>
          <w:color w:val="auto"/>
          <w:szCs w:val="28"/>
          <w:highlight w:val="none"/>
          <w:shd w:val="clear" w:color="auto" w:fill="FFFFFF"/>
        </w:rPr>
      </w:pPr>
      <w:r>
        <w:rPr>
          <w:rFonts w:hint="eastAsia"/>
          <w:color w:val="auto"/>
          <w:szCs w:val="28"/>
          <w:highlight w:val="none"/>
          <w:shd w:val="clear" w:color="auto" w:fill="FFFFFF"/>
          <w:lang w:val="en-US" w:eastAsia="zh-CN"/>
        </w:rPr>
        <w:t xml:space="preserve">   </w:t>
      </w:r>
      <w:r>
        <w:rPr>
          <w:rFonts w:hint="eastAsia"/>
          <w:color w:val="auto"/>
          <w:szCs w:val="28"/>
          <w:highlight w:val="none"/>
          <w:shd w:val="clear" w:color="auto" w:fill="FFFFFF"/>
        </w:rPr>
        <w:t>（2）因非</w:t>
      </w:r>
      <w:r>
        <w:rPr>
          <w:rFonts w:hint="eastAsia" w:cs="Times New Roman"/>
          <w:color w:val="auto"/>
          <w:kern w:val="0"/>
          <w:szCs w:val="28"/>
          <w:highlight w:val="none"/>
          <w:shd w:val="clear" w:color="auto" w:fill="FFFFFF"/>
        </w:rPr>
        <w:t>管道燃气</w:t>
      </w:r>
      <w:r>
        <w:rPr>
          <w:color w:val="auto"/>
          <w:szCs w:val="28"/>
          <w:highlight w:val="none"/>
          <w:shd w:val="clear" w:color="auto" w:fill="FFFFFF"/>
        </w:rPr>
        <w:t>特许经营</w:t>
      </w:r>
      <w:r>
        <w:rPr>
          <w:rFonts w:hint="eastAsia"/>
          <w:color w:val="auto"/>
          <w:szCs w:val="28"/>
          <w:highlight w:val="none"/>
          <w:shd w:val="clear" w:color="auto" w:fill="FFFFFF"/>
          <w:lang w:eastAsia="zh-CN"/>
        </w:rPr>
        <w:t>者</w:t>
      </w:r>
      <w:r>
        <w:rPr>
          <w:rFonts w:hint="eastAsia"/>
          <w:color w:val="auto"/>
          <w:szCs w:val="28"/>
          <w:highlight w:val="none"/>
          <w:shd w:val="clear" w:color="auto" w:fill="FFFFFF"/>
        </w:rPr>
        <w:t>原因造成的经营成本发生重大变动时，企业可提出城市管道燃气收费标准调整申请。建立燃气销售价格与上游供应价格实行联动机制，在特许经营期间，如遇上游燃气供应价格调整，</w:t>
      </w:r>
      <w:r>
        <w:rPr>
          <w:rFonts w:hint="eastAsia" w:cs="Times New Roman"/>
          <w:color w:val="auto"/>
          <w:kern w:val="0"/>
          <w:szCs w:val="28"/>
          <w:highlight w:val="none"/>
          <w:shd w:val="clear" w:color="auto" w:fill="FFFFFF"/>
        </w:rPr>
        <w:t>管道燃气</w:t>
      </w:r>
      <w:r>
        <w:rPr>
          <w:color w:val="auto"/>
          <w:szCs w:val="28"/>
          <w:highlight w:val="none"/>
          <w:shd w:val="clear" w:color="auto" w:fill="FFFFFF"/>
        </w:rPr>
        <w:t>特许经营</w:t>
      </w:r>
      <w:r>
        <w:rPr>
          <w:rFonts w:hint="eastAsia"/>
          <w:color w:val="auto"/>
          <w:szCs w:val="28"/>
          <w:highlight w:val="none"/>
          <w:shd w:val="clear" w:color="auto" w:fill="FFFFFF"/>
          <w:lang w:eastAsia="zh-CN"/>
        </w:rPr>
        <w:t>者</w:t>
      </w:r>
      <w:r>
        <w:rPr>
          <w:rFonts w:hint="eastAsia"/>
          <w:color w:val="auto"/>
          <w:szCs w:val="28"/>
          <w:highlight w:val="none"/>
          <w:shd w:val="clear" w:color="auto" w:fill="FFFFFF"/>
        </w:rPr>
        <w:t>可自行对非居民用户的燃气售价作相应幅度的调整，并向物价部门报备。居民用户燃气价格的调整需按照国家相关规定履行必要程序后方可执行。</w:t>
      </w: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p>
    <w:p>
      <w:pPr>
        <w:pStyle w:val="2"/>
        <w:numPr>
          <w:ilvl w:val="0"/>
          <w:numId w:val="2"/>
        </w:numPr>
        <w:rPr>
          <w:color w:val="auto"/>
          <w:highlight w:val="none"/>
        </w:rPr>
      </w:pPr>
      <w:bookmarkStart w:id="26" w:name="_Toc32703"/>
      <w:r>
        <w:rPr>
          <w:color w:val="auto"/>
          <w:highlight w:val="none"/>
          <w:shd w:val="clear" w:color="auto" w:fill="FFFFFF"/>
        </w:rPr>
        <w:t>建设运营标准和监管要求</w:t>
      </w:r>
      <w:bookmarkEnd w:id="26"/>
    </w:p>
    <w:p>
      <w:pPr>
        <w:pStyle w:val="3"/>
        <w:rPr>
          <w:color w:val="auto"/>
          <w:highlight w:val="none"/>
        </w:rPr>
      </w:pPr>
      <w:bookmarkStart w:id="27" w:name="_Toc3757"/>
      <w:r>
        <w:rPr>
          <w:rFonts w:hint="eastAsia"/>
          <w:color w:val="auto"/>
          <w:highlight w:val="none"/>
        </w:rPr>
        <w:t>5.1</w:t>
      </w:r>
      <w:r>
        <w:rPr>
          <w:color w:val="auto"/>
          <w:highlight w:val="none"/>
        </w:rPr>
        <w:t>建设运营标准</w:t>
      </w:r>
      <w:bookmarkEnd w:id="27"/>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5.1.1</w:t>
      </w:r>
      <w:r>
        <w:rPr>
          <w:rFonts w:cs="Times New Roman"/>
          <w:color w:val="auto"/>
          <w:szCs w:val="28"/>
          <w:highlight w:val="none"/>
          <w:shd w:val="clear" w:color="auto" w:fill="FFFFFF"/>
        </w:rPr>
        <w:t>项目实施依据</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（1）</w:t>
      </w:r>
      <w:r>
        <w:rPr>
          <w:rFonts w:hint="eastAsia"/>
          <w:color w:val="auto"/>
          <w:szCs w:val="28"/>
          <w:highlight w:val="none"/>
          <w:shd w:val="clear" w:color="auto" w:fill="FFFFFF"/>
        </w:rPr>
        <w:t>《基础设施和公用事业特许经营管理办法》</w:t>
      </w:r>
      <w:r>
        <w:rPr>
          <w:color w:val="auto"/>
          <w:szCs w:val="28"/>
          <w:highlight w:val="none"/>
          <w:shd w:val="clear" w:color="auto" w:fill="FFFFFF"/>
        </w:rPr>
        <w:t>国家发改委</w:t>
      </w:r>
      <w:r>
        <w:rPr>
          <w:rFonts w:hint="eastAsia"/>
          <w:color w:val="auto"/>
          <w:szCs w:val="28"/>
          <w:highlight w:val="none"/>
          <w:shd w:val="clear" w:color="auto" w:fill="FFFFFF"/>
        </w:rPr>
        <w:t>2015年第25号令；</w:t>
      </w:r>
    </w:p>
    <w:p>
      <w:pPr>
        <w:pStyle w:val="20"/>
        <w:widowControl/>
        <w:shd w:val="clear" w:color="auto" w:fill="FFFFFF"/>
        <w:spacing w:beforeAutospacing="0" w:afterAutospacing="0" w:line="360" w:lineRule="atLeast"/>
        <w:rPr>
          <w:color w:val="auto"/>
          <w:sz w:val="28"/>
          <w:szCs w:val="28"/>
          <w:highlight w:val="none"/>
          <w:shd w:val="clear" w:color="auto" w:fill="FFFFFF"/>
        </w:rPr>
      </w:pPr>
      <w:r>
        <w:rPr>
          <w:rFonts w:hint="eastAsia"/>
          <w:color w:val="auto"/>
          <w:sz w:val="28"/>
          <w:szCs w:val="28"/>
          <w:highlight w:val="none"/>
          <w:shd w:val="clear" w:color="auto" w:fill="FFFFFF"/>
        </w:rPr>
        <w:t>（2</w:t>
      </w:r>
      <w:r>
        <w:rPr>
          <w:rFonts w:hint="eastAsia"/>
          <w:color w:val="auto"/>
          <w:sz w:val="28"/>
          <w:szCs w:val="28"/>
          <w:highlight w:val="none"/>
          <w:shd w:val="clear" w:color="auto" w:fill="FFFFFF"/>
          <w:lang w:eastAsia="zh-CN"/>
        </w:rPr>
        <w:t>）</w:t>
      </w:r>
      <w:r>
        <w:rPr>
          <w:color w:val="auto"/>
          <w:sz w:val="28"/>
          <w:szCs w:val="28"/>
          <w:highlight w:val="none"/>
          <w:shd w:val="clear" w:color="auto" w:fill="FFFFFF"/>
        </w:rPr>
        <w:t>《城镇燃气管理条例》第十四条中华人民共和国国务院令第583号</w:t>
      </w:r>
      <w:r>
        <w:rPr>
          <w:rFonts w:hint="eastAsia"/>
          <w:color w:val="auto"/>
          <w:sz w:val="28"/>
          <w:szCs w:val="28"/>
          <w:highlight w:val="none"/>
          <w:shd w:val="clear" w:color="auto" w:fill="FFFFFF"/>
        </w:rPr>
        <w:t>；</w:t>
      </w:r>
    </w:p>
    <w:p>
      <w:pPr>
        <w:pStyle w:val="20"/>
        <w:widowControl/>
        <w:shd w:val="clear" w:color="auto" w:fill="FFFFFF"/>
        <w:spacing w:beforeAutospacing="0" w:afterAutospacing="0" w:line="360" w:lineRule="atLeast"/>
        <w:rPr>
          <w:color w:val="auto"/>
          <w:sz w:val="28"/>
          <w:szCs w:val="28"/>
          <w:highlight w:val="none"/>
          <w:shd w:val="clear" w:color="auto" w:fill="FFFFFF"/>
        </w:rPr>
      </w:pP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3</w:t>
      </w:r>
      <w:r>
        <w:rPr>
          <w:rFonts w:hint="eastAsia"/>
          <w:color w:val="auto"/>
          <w:sz w:val="28"/>
          <w:szCs w:val="28"/>
          <w:highlight w:val="none"/>
          <w:shd w:val="clear" w:color="auto" w:fill="FFFFFF"/>
          <w:lang w:eastAsia="zh-CN"/>
        </w:rPr>
        <w:t>）</w:t>
      </w:r>
      <w:r>
        <w:rPr>
          <w:color w:val="auto"/>
          <w:sz w:val="28"/>
          <w:szCs w:val="28"/>
          <w:highlight w:val="none"/>
          <w:shd w:val="clear" w:color="auto" w:fill="FFFFFF"/>
        </w:rPr>
        <w:t>《</w:t>
      </w:r>
      <w:r>
        <w:rPr>
          <w:rFonts w:hint="eastAsia"/>
          <w:color w:val="auto"/>
          <w:sz w:val="28"/>
          <w:szCs w:val="28"/>
          <w:highlight w:val="none"/>
          <w:shd w:val="clear" w:color="auto" w:fill="FFFFFF"/>
        </w:rPr>
        <w:t>广东省</w:t>
      </w:r>
      <w:r>
        <w:rPr>
          <w:color w:val="auto"/>
          <w:sz w:val="28"/>
          <w:szCs w:val="28"/>
          <w:highlight w:val="none"/>
          <w:shd w:val="clear" w:color="auto" w:fill="FFFFFF"/>
        </w:rPr>
        <w:t>市政公用事业特许经营</w:t>
      </w:r>
      <w:r>
        <w:rPr>
          <w:rFonts w:hint="eastAsia"/>
          <w:color w:val="auto"/>
          <w:sz w:val="28"/>
          <w:szCs w:val="28"/>
          <w:highlight w:val="none"/>
          <w:shd w:val="clear" w:color="auto" w:fill="FFFFFF"/>
        </w:rPr>
        <w:t>权</w:t>
      </w:r>
      <w:r>
        <w:rPr>
          <w:color w:val="auto"/>
          <w:sz w:val="28"/>
          <w:szCs w:val="28"/>
          <w:highlight w:val="none"/>
          <w:shd w:val="clear" w:color="auto" w:fill="FFFFFF"/>
        </w:rPr>
        <w:t>管理办法》</w:t>
      </w:r>
      <w:r>
        <w:rPr>
          <w:rFonts w:hint="eastAsia"/>
          <w:color w:val="auto"/>
          <w:sz w:val="28"/>
          <w:szCs w:val="28"/>
          <w:highlight w:val="none"/>
          <w:shd w:val="clear" w:color="auto" w:fill="FFFFFF"/>
        </w:rPr>
        <w:t>；</w:t>
      </w:r>
    </w:p>
    <w:p>
      <w:pPr>
        <w:pStyle w:val="20"/>
        <w:widowControl/>
        <w:shd w:val="clear" w:color="auto" w:fill="FFFFFF"/>
        <w:spacing w:beforeAutospacing="0" w:afterAutospacing="0" w:line="360" w:lineRule="atLeast"/>
        <w:rPr>
          <w:color w:val="auto"/>
          <w:sz w:val="28"/>
          <w:szCs w:val="28"/>
          <w:highlight w:val="none"/>
          <w:shd w:val="clear" w:color="auto" w:fill="FFFFFF"/>
        </w:rPr>
      </w:pP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4</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其它法律法规。</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5.1.2工程建设</w:t>
      </w:r>
      <w:r>
        <w:rPr>
          <w:rFonts w:cs="Times New Roman"/>
          <w:color w:val="auto"/>
          <w:szCs w:val="28"/>
          <w:highlight w:val="none"/>
          <w:shd w:val="clear" w:color="auto" w:fill="FFFFFF"/>
        </w:rPr>
        <w:t>标准规范</w:t>
      </w:r>
    </w:p>
    <w:p>
      <w:pPr>
        <w:rPr>
          <w:color w:val="auto"/>
          <w:szCs w:val="28"/>
          <w:highlight w:val="none"/>
        </w:rPr>
      </w:pPr>
      <w:r>
        <w:rPr>
          <w:color w:val="auto"/>
          <w:szCs w:val="28"/>
          <w:highlight w:val="none"/>
        </w:rPr>
        <w:t>（1）燃气工艺设施</w:t>
      </w:r>
    </w:p>
    <w:p>
      <w:pPr>
        <w:rPr>
          <w:color w:val="auto"/>
          <w:szCs w:val="28"/>
          <w:highlight w:val="none"/>
        </w:rPr>
      </w:pPr>
      <w:r>
        <w:rPr>
          <w:color w:val="auto"/>
          <w:szCs w:val="28"/>
          <w:highlight w:val="none"/>
        </w:rPr>
        <w:t>《城镇燃气设计规范》GB50028-2006</w:t>
      </w:r>
    </w:p>
    <w:p>
      <w:pPr>
        <w:rPr>
          <w:color w:val="auto"/>
          <w:szCs w:val="28"/>
          <w:highlight w:val="none"/>
        </w:rPr>
      </w:pPr>
      <w:r>
        <w:rPr>
          <w:color w:val="auto"/>
          <w:szCs w:val="28"/>
          <w:highlight w:val="none"/>
        </w:rPr>
        <w:t>《工业金属管道工程施工规范》GB50235-2010</w:t>
      </w:r>
    </w:p>
    <w:p>
      <w:pPr>
        <w:rPr>
          <w:color w:val="auto"/>
          <w:szCs w:val="28"/>
          <w:highlight w:val="none"/>
        </w:rPr>
      </w:pPr>
      <w:r>
        <w:rPr>
          <w:color w:val="auto"/>
          <w:szCs w:val="28"/>
          <w:highlight w:val="none"/>
        </w:rPr>
        <w:t>《工业金属管道工程施工质量验收规范》GB50184-2011</w:t>
      </w:r>
    </w:p>
    <w:p>
      <w:pPr>
        <w:rPr>
          <w:color w:val="auto"/>
          <w:szCs w:val="28"/>
          <w:highlight w:val="none"/>
        </w:rPr>
      </w:pPr>
      <w:r>
        <w:rPr>
          <w:color w:val="auto"/>
          <w:szCs w:val="28"/>
          <w:highlight w:val="none"/>
        </w:rPr>
        <w:t>《石油天然气工程设计防火规范》GB50183-20</w:t>
      </w:r>
      <w:r>
        <w:rPr>
          <w:rFonts w:hint="eastAsia"/>
          <w:color w:val="auto"/>
          <w:szCs w:val="28"/>
          <w:highlight w:val="none"/>
        </w:rPr>
        <w:t>15</w:t>
      </w:r>
    </w:p>
    <w:p>
      <w:pPr>
        <w:rPr>
          <w:color w:val="auto"/>
          <w:szCs w:val="28"/>
          <w:highlight w:val="none"/>
        </w:rPr>
      </w:pPr>
      <w:r>
        <w:rPr>
          <w:color w:val="auto"/>
          <w:szCs w:val="28"/>
          <w:highlight w:val="none"/>
        </w:rPr>
        <w:t>《建筑设计防火规范》GB50016-2014</w:t>
      </w:r>
    </w:p>
    <w:p>
      <w:pPr>
        <w:rPr>
          <w:color w:val="auto"/>
          <w:szCs w:val="28"/>
          <w:highlight w:val="none"/>
        </w:rPr>
      </w:pPr>
      <w:r>
        <w:rPr>
          <w:color w:val="auto"/>
          <w:szCs w:val="28"/>
          <w:highlight w:val="none"/>
        </w:rPr>
        <w:t>（2）消防设施</w:t>
      </w:r>
    </w:p>
    <w:p>
      <w:pPr>
        <w:rPr>
          <w:color w:val="auto"/>
          <w:szCs w:val="28"/>
          <w:highlight w:val="none"/>
        </w:rPr>
      </w:pPr>
      <w:r>
        <w:rPr>
          <w:color w:val="auto"/>
          <w:szCs w:val="28"/>
          <w:highlight w:val="none"/>
        </w:rPr>
        <w:t>《消防安全标志设置要求》GB15630-1995</w:t>
      </w:r>
    </w:p>
    <w:p>
      <w:pPr>
        <w:rPr>
          <w:color w:val="auto"/>
          <w:szCs w:val="28"/>
          <w:highlight w:val="none"/>
        </w:rPr>
      </w:pPr>
      <w:r>
        <w:rPr>
          <w:color w:val="auto"/>
          <w:szCs w:val="28"/>
          <w:highlight w:val="none"/>
        </w:rPr>
        <w:t>《建筑设计防火规范》GB50016-2014</w:t>
      </w:r>
    </w:p>
    <w:p>
      <w:pPr>
        <w:rPr>
          <w:color w:val="auto"/>
          <w:szCs w:val="28"/>
          <w:highlight w:val="none"/>
        </w:rPr>
      </w:pPr>
      <w:r>
        <w:rPr>
          <w:color w:val="auto"/>
          <w:szCs w:val="28"/>
          <w:highlight w:val="none"/>
        </w:rPr>
        <w:t>《石油天然气工程设计防火规范》GB50183-20</w:t>
      </w:r>
      <w:r>
        <w:rPr>
          <w:rFonts w:hint="eastAsia"/>
          <w:color w:val="auto"/>
          <w:szCs w:val="28"/>
          <w:highlight w:val="none"/>
        </w:rPr>
        <w:t>15</w:t>
      </w:r>
    </w:p>
    <w:p>
      <w:pPr>
        <w:rPr>
          <w:color w:val="auto"/>
          <w:szCs w:val="28"/>
          <w:highlight w:val="none"/>
        </w:rPr>
      </w:pPr>
      <w:r>
        <w:rPr>
          <w:color w:val="auto"/>
          <w:szCs w:val="28"/>
          <w:highlight w:val="none"/>
        </w:rPr>
        <w:t>《建筑灭火器配置设计规范》GB50140-2005</w:t>
      </w:r>
    </w:p>
    <w:p>
      <w:pPr>
        <w:rPr>
          <w:color w:val="auto"/>
          <w:szCs w:val="28"/>
          <w:highlight w:val="none"/>
        </w:rPr>
      </w:pPr>
      <w:r>
        <w:rPr>
          <w:color w:val="auto"/>
          <w:szCs w:val="28"/>
          <w:highlight w:val="none"/>
        </w:rPr>
        <w:t>（3）土建设施</w:t>
      </w:r>
    </w:p>
    <w:p>
      <w:pPr>
        <w:rPr>
          <w:color w:val="auto"/>
          <w:szCs w:val="28"/>
          <w:highlight w:val="none"/>
        </w:rPr>
      </w:pPr>
      <w:r>
        <w:rPr>
          <w:color w:val="auto"/>
          <w:szCs w:val="28"/>
          <w:highlight w:val="none"/>
        </w:rPr>
        <w:t>《砌体结构设计规范》GB/T50003-2011</w:t>
      </w:r>
    </w:p>
    <w:p>
      <w:pPr>
        <w:rPr>
          <w:color w:val="auto"/>
          <w:szCs w:val="28"/>
          <w:highlight w:val="none"/>
        </w:rPr>
      </w:pPr>
      <w:r>
        <w:rPr>
          <w:color w:val="auto"/>
          <w:szCs w:val="28"/>
          <w:highlight w:val="none"/>
        </w:rPr>
        <w:t>《建筑工程抗震设防分类标准》GB50223-2008</w:t>
      </w:r>
    </w:p>
    <w:p>
      <w:pPr>
        <w:rPr>
          <w:color w:val="auto"/>
          <w:szCs w:val="28"/>
          <w:highlight w:val="none"/>
        </w:rPr>
      </w:pPr>
      <w:r>
        <w:rPr>
          <w:color w:val="auto"/>
          <w:szCs w:val="28"/>
          <w:highlight w:val="none"/>
        </w:rPr>
        <w:t>《建筑抗震设计规范》GB50011-2010</w:t>
      </w:r>
    </w:p>
    <w:p>
      <w:pPr>
        <w:rPr>
          <w:color w:val="auto"/>
          <w:szCs w:val="28"/>
          <w:highlight w:val="none"/>
        </w:rPr>
      </w:pPr>
      <w:r>
        <w:rPr>
          <w:color w:val="auto"/>
          <w:szCs w:val="28"/>
          <w:highlight w:val="none"/>
        </w:rPr>
        <w:t>《构筑物抗震设计规范》GB50191-2012</w:t>
      </w:r>
    </w:p>
    <w:p>
      <w:pPr>
        <w:rPr>
          <w:color w:val="auto"/>
          <w:szCs w:val="28"/>
          <w:highlight w:val="none"/>
        </w:rPr>
      </w:pPr>
      <w:r>
        <w:rPr>
          <w:color w:val="auto"/>
          <w:szCs w:val="28"/>
          <w:highlight w:val="none"/>
        </w:rPr>
        <w:t>《混凝土结构设计规范》GB50010-2010</w:t>
      </w:r>
    </w:p>
    <w:p>
      <w:pPr>
        <w:rPr>
          <w:color w:val="auto"/>
          <w:szCs w:val="28"/>
          <w:highlight w:val="none"/>
        </w:rPr>
      </w:pPr>
      <w:r>
        <w:rPr>
          <w:color w:val="auto"/>
          <w:szCs w:val="28"/>
          <w:highlight w:val="none"/>
        </w:rPr>
        <w:t>《建筑结构荷载规范》GB50009-2012</w:t>
      </w:r>
    </w:p>
    <w:p>
      <w:pPr>
        <w:rPr>
          <w:color w:val="auto"/>
          <w:szCs w:val="28"/>
          <w:highlight w:val="none"/>
        </w:rPr>
      </w:pPr>
      <w:r>
        <w:rPr>
          <w:color w:val="auto"/>
          <w:szCs w:val="28"/>
          <w:highlight w:val="none"/>
        </w:rPr>
        <w:t>《建筑地基基础设计规范》GB50007-2011</w:t>
      </w:r>
    </w:p>
    <w:p>
      <w:pPr>
        <w:rPr>
          <w:color w:val="auto"/>
          <w:szCs w:val="28"/>
          <w:highlight w:val="none"/>
        </w:rPr>
      </w:pPr>
      <w:r>
        <w:rPr>
          <w:color w:val="auto"/>
          <w:szCs w:val="28"/>
          <w:highlight w:val="none"/>
        </w:rPr>
        <w:t>（5）电气设施</w:t>
      </w:r>
    </w:p>
    <w:p>
      <w:pPr>
        <w:rPr>
          <w:color w:val="auto"/>
          <w:szCs w:val="28"/>
          <w:highlight w:val="none"/>
        </w:rPr>
      </w:pPr>
      <w:r>
        <w:rPr>
          <w:color w:val="auto"/>
          <w:szCs w:val="28"/>
          <w:highlight w:val="none"/>
        </w:rPr>
        <w:t>《供配电系统设计规范》GB50052-2009</w:t>
      </w:r>
    </w:p>
    <w:p>
      <w:pPr>
        <w:rPr>
          <w:color w:val="auto"/>
          <w:szCs w:val="28"/>
          <w:highlight w:val="none"/>
        </w:rPr>
      </w:pPr>
      <w:r>
        <w:rPr>
          <w:color w:val="auto"/>
          <w:szCs w:val="28"/>
          <w:highlight w:val="none"/>
        </w:rPr>
        <w:t>《低压配电设计规范》GB50054-2011</w:t>
      </w:r>
    </w:p>
    <w:p>
      <w:pPr>
        <w:rPr>
          <w:color w:val="auto"/>
          <w:szCs w:val="28"/>
          <w:highlight w:val="none"/>
        </w:rPr>
      </w:pPr>
      <w:r>
        <w:rPr>
          <w:color w:val="auto"/>
          <w:szCs w:val="28"/>
          <w:highlight w:val="none"/>
        </w:rPr>
        <w:t>《建筑照明设计标准》GB50034-2013</w:t>
      </w:r>
    </w:p>
    <w:p>
      <w:pPr>
        <w:rPr>
          <w:color w:val="auto"/>
          <w:szCs w:val="28"/>
          <w:highlight w:val="none"/>
        </w:rPr>
      </w:pPr>
      <w:r>
        <w:rPr>
          <w:color w:val="auto"/>
          <w:szCs w:val="28"/>
          <w:highlight w:val="none"/>
        </w:rPr>
        <w:t>《电力工程电缆设计规范》GB50217-2007</w:t>
      </w:r>
    </w:p>
    <w:p>
      <w:pPr>
        <w:rPr>
          <w:color w:val="auto"/>
          <w:szCs w:val="28"/>
          <w:highlight w:val="none"/>
        </w:rPr>
      </w:pPr>
      <w:r>
        <w:rPr>
          <w:color w:val="auto"/>
          <w:szCs w:val="28"/>
          <w:highlight w:val="none"/>
        </w:rPr>
        <w:t>《爆炸危险环境电力装置设计规范》GB50058-2014</w:t>
      </w:r>
    </w:p>
    <w:p>
      <w:pPr>
        <w:rPr>
          <w:color w:val="auto"/>
          <w:szCs w:val="28"/>
          <w:highlight w:val="none"/>
        </w:rPr>
      </w:pPr>
      <w:r>
        <w:rPr>
          <w:color w:val="auto"/>
          <w:szCs w:val="28"/>
          <w:highlight w:val="none"/>
        </w:rPr>
        <w:t>《建筑物防雷设计规范》GB50057-2010</w:t>
      </w:r>
    </w:p>
    <w:p>
      <w:pPr>
        <w:rPr>
          <w:color w:val="auto"/>
          <w:szCs w:val="28"/>
          <w:highlight w:val="none"/>
        </w:rPr>
      </w:pPr>
      <w:r>
        <w:rPr>
          <w:color w:val="auto"/>
          <w:szCs w:val="28"/>
          <w:highlight w:val="none"/>
        </w:rPr>
        <w:t>《石油化工静电接地设计规范》SH 3097-2000</w:t>
      </w:r>
    </w:p>
    <w:p>
      <w:pPr>
        <w:rPr>
          <w:color w:val="auto"/>
          <w:szCs w:val="28"/>
          <w:highlight w:val="none"/>
        </w:rPr>
      </w:pPr>
      <w:r>
        <w:rPr>
          <w:color w:val="auto"/>
          <w:szCs w:val="28"/>
          <w:highlight w:val="none"/>
        </w:rPr>
        <w:t>《石油化工企业可燃气体和有毒气体检测报警设计规范》GB50493-2009</w:t>
      </w:r>
    </w:p>
    <w:p>
      <w:pPr>
        <w:rPr>
          <w:color w:val="auto"/>
          <w:szCs w:val="28"/>
          <w:highlight w:val="none"/>
        </w:rPr>
      </w:pPr>
      <w:r>
        <w:rPr>
          <w:color w:val="auto"/>
          <w:szCs w:val="28"/>
          <w:highlight w:val="none"/>
        </w:rPr>
        <w:t>（6）自控仪表设施</w:t>
      </w:r>
    </w:p>
    <w:p>
      <w:pPr>
        <w:rPr>
          <w:snapToGrid w:val="0"/>
          <w:color w:val="auto"/>
          <w:szCs w:val="28"/>
          <w:highlight w:val="none"/>
        </w:rPr>
      </w:pPr>
      <w:r>
        <w:rPr>
          <w:snapToGrid w:val="0"/>
          <w:color w:val="auto"/>
          <w:szCs w:val="28"/>
          <w:highlight w:val="none"/>
        </w:rPr>
        <w:t>《石油化工可燃气体和有毒气体检测报警设计规范》 GB 50493-2009</w:t>
      </w:r>
    </w:p>
    <w:p>
      <w:pPr>
        <w:rPr>
          <w:snapToGrid w:val="0"/>
          <w:color w:val="auto"/>
          <w:szCs w:val="28"/>
          <w:highlight w:val="none"/>
        </w:rPr>
      </w:pPr>
      <w:r>
        <w:rPr>
          <w:snapToGrid w:val="0"/>
          <w:color w:val="auto"/>
          <w:szCs w:val="28"/>
          <w:highlight w:val="none"/>
        </w:rPr>
        <w:t>《自动化仪表选型设计规定》HG/T 20507-2014</w:t>
      </w:r>
    </w:p>
    <w:p>
      <w:pPr>
        <w:rPr>
          <w:snapToGrid w:val="0"/>
          <w:color w:val="auto"/>
          <w:szCs w:val="28"/>
          <w:highlight w:val="none"/>
        </w:rPr>
      </w:pPr>
      <w:r>
        <w:rPr>
          <w:snapToGrid w:val="0"/>
          <w:color w:val="auto"/>
          <w:szCs w:val="28"/>
          <w:highlight w:val="none"/>
        </w:rPr>
        <w:t>《过程测量和控制仪表的功能标志及图形符号》HG/T 20505-2014</w:t>
      </w:r>
    </w:p>
    <w:p>
      <w:pPr>
        <w:rPr>
          <w:snapToGrid w:val="0"/>
          <w:color w:val="auto"/>
          <w:szCs w:val="28"/>
          <w:highlight w:val="none"/>
        </w:rPr>
      </w:pPr>
      <w:r>
        <w:rPr>
          <w:snapToGrid w:val="0"/>
          <w:color w:val="auto"/>
          <w:szCs w:val="28"/>
          <w:highlight w:val="none"/>
        </w:rPr>
        <w:t>《控制室设计规定》HG/T 20508-2014</w:t>
      </w:r>
    </w:p>
    <w:p>
      <w:pPr>
        <w:rPr>
          <w:snapToGrid w:val="0"/>
          <w:color w:val="auto"/>
          <w:szCs w:val="28"/>
          <w:highlight w:val="none"/>
        </w:rPr>
      </w:pPr>
      <w:r>
        <w:rPr>
          <w:snapToGrid w:val="0"/>
          <w:color w:val="auto"/>
          <w:szCs w:val="28"/>
          <w:highlight w:val="none"/>
        </w:rPr>
        <w:t>《仪表供电设计规定》HG/T 20509-2014</w:t>
      </w:r>
    </w:p>
    <w:p>
      <w:pPr>
        <w:rPr>
          <w:snapToGrid w:val="0"/>
          <w:color w:val="auto"/>
          <w:szCs w:val="28"/>
          <w:highlight w:val="none"/>
        </w:rPr>
      </w:pPr>
      <w:r>
        <w:rPr>
          <w:snapToGrid w:val="0"/>
          <w:color w:val="auto"/>
          <w:szCs w:val="28"/>
          <w:highlight w:val="none"/>
        </w:rPr>
        <w:t>《仪表供气设计规定》HG/T 20510-2014</w:t>
      </w:r>
    </w:p>
    <w:p>
      <w:pPr>
        <w:rPr>
          <w:snapToGrid w:val="0"/>
          <w:color w:val="auto"/>
          <w:szCs w:val="28"/>
          <w:highlight w:val="none"/>
        </w:rPr>
      </w:pPr>
      <w:r>
        <w:rPr>
          <w:snapToGrid w:val="0"/>
          <w:color w:val="auto"/>
          <w:szCs w:val="28"/>
          <w:highlight w:val="none"/>
        </w:rPr>
        <w:t>《仪表配管配线设计规定》HG/T 20512-2014</w:t>
      </w:r>
    </w:p>
    <w:p>
      <w:pPr>
        <w:rPr>
          <w:color w:val="auto"/>
          <w:szCs w:val="28"/>
          <w:highlight w:val="none"/>
        </w:rPr>
      </w:pPr>
      <w:r>
        <w:rPr>
          <w:snapToGrid w:val="0"/>
          <w:color w:val="auto"/>
          <w:szCs w:val="28"/>
          <w:highlight w:val="none"/>
        </w:rPr>
        <w:t>《仪表系统接地设计规定》HG/T 20513-2014</w:t>
      </w:r>
    </w:p>
    <w:p>
      <w:pPr>
        <w:rPr>
          <w:color w:val="auto"/>
          <w:szCs w:val="28"/>
          <w:highlight w:val="none"/>
        </w:rPr>
      </w:pPr>
      <w:r>
        <w:rPr>
          <w:color w:val="auto"/>
          <w:szCs w:val="28"/>
          <w:highlight w:val="none"/>
        </w:rPr>
        <w:t>（7）给排水</w:t>
      </w:r>
    </w:p>
    <w:p>
      <w:pPr>
        <w:rPr>
          <w:color w:val="auto"/>
          <w:szCs w:val="28"/>
          <w:highlight w:val="none"/>
        </w:rPr>
      </w:pPr>
      <w:r>
        <w:rPr>
          <w:color w:val="auto"/>
          <w:szCs w:val="28"/>
          <w:highlight w:val="none"/>
        </w:rPr>
        <w:t>《建筑给水排水设计规范》GB50015-2003（2009年版）</w:t>
      </w:r>
    </w:p>
    <w:p>
      <w:pPr>
        <w:rPr>
          <w:color w:val="auto"/>
          <w:szCs w:val="28"/>
          <w:highlight w:val="none"/>
        </w:rPr>
      </w:pPr>
      <w:r>
        <w:rPr>
          <w:color w:val="auto"/>
          <w:szCs w:val="28"/>
          <w:highlight w:val="none"/>
        </w:rPr>
        <w:t>《室外排水设计规范》GB50014-2006（20</w:t>
      </w:r>
      <w:r>
        <w:rPr>
          <w:rFonts w:hint="eastAsia"/>
          <w:color w:val="auto"/>
          <w:szCs w:val="28"/>
          <w:highlight w:val="none"/>
        </w:rPr>
        <w:t>14</w:t>
      </w:r>
      <w:r>
        <w:rPr>
          <w:color w:val="auto"/>
          <w:szCs w:val="28"/>
          <w:highlight w:val="none"/>
        </w:rPr>
        <w:t>年版）</w:t>
      </w:r>
    </w:p>
    <w:p>
      <w:pPr>
        <w:rPr>
          <w:color w:val="auto"/>
          <w:szCs w:val="28"/>
          <w:highlight w:val="none"/>
        </w:rPr>
      </w:pPr>
      <w:r>
        <w:rPr>
          <w:color w:val="auto"/>
          <w:szCs w:val="28"/>
          <w:highlight w:val="none"/>
        </w:rPr>
        <w:t>（8）管材</w:t>
      </w:r>
    </w:p>
    <w:p>
      <w:pPr>
        <w:rPr>
          <w:color w:val="auto"/>
          <w:szCs w:val="28"/>
          <w:highlight w:val="none"/>
        </w:rPr>
      </w:pPr>
      <w:r>
        <w:rPr>
          <w:color w:val="auto"/>
          <w:szCs w:val="28"/>
          <w:highlight w:val="none"/>
        </w:rPr>
        <w:t>《输送流体用无缝钢管》GB/T8163-2008</w:t>
      </w:r>
    </w:p>
    <w:p>
      <w:pPr>
        <w:rPr>
          <w:color w:val="auto"/>
          <w:szCs w:val="28"/>
          <w:highlight w:val="none"/>
        </w:rPr>
      </w:pPr>
      <w:r>
        <w:rPr>
          <w:color w:val="auto"/>
          <w:szCs w:val="28"/>
          <w:highlight w:val="none"/>
        </w:rPr>
        <w:t>《流体输送用不锈钢无缝钢管》GB/T14976-2012</w:t>
      </w:r>
    </w:p>
    <w:p>
      <w:pPr>
        <w:rPr>
          <w:color w:val="auto"/>
          <w:szCs w:val="28"/>
          <w:highlight w:val="none"/>
        </w:rPr>
      </w:pPr>
      <w:r>
        <w:rPr>
          <w:color w:val="auto"/>
          <w:szCs w:val="28"/>
          <w:highlight w:val="none"/>
        </w:rPr>
        <w:t>《钢制对焊无缝管件》GB/T12459-2005</w:t>
      </w:r>
    </w:p>
    <w:p>
      <w:pPr>
        <w:rPr>
          <w:color w:val="auto"/>
          <w:szCs w:val="28"/>
          <w:highlight w:val="none"/>
        </w:rPr>
      </w:pPr>
      <w:r>
        <w:rPr>
          <w:rFonts w:hint="eastAsia" w:ascii="宋体" w:hAnsi="宋体" w:cs="宋体"/>
          <w:color w:val="auto"/>
          <w:highlight w:val="none"/>
        </w:rPr>
        <w:t>《</w:t>
      </w:r>
      <w:r>
        <w:rPr>
          <w:rFonts w:hint="eastAsia"/>
          <w:color w:val="auto"/>
          <w:szCs w:val="28"/>
          <w:highlight w:val="none"/>
        </w:rPr>
        <w:t>城镇燃气设计规范》GB50028－2006</w:t>
      </w:r>
    </w:p>
    <w:p>
      <w:pPr>
        <w:rPr>
          <w:rFonts w:ascii="宋体" w:hAnsi="宋体" w:cs="宋体"/>
          <w:color w:val="auto"/>
          <w:highlight w:val="none"/>
        </w:rPr>
      </w:pPr>
      <w:r>
        <w:rPr>
          <w:rFonts w:hint="eastAsia" w:ascii="宋体" w:hAnsi="宋体" w:cs="宋体"/>
          <w:color w:val="auto"/>
          <w:szCs w:val="28"/>
          <w:highlight w:val="none"/>
        </w:rPr>
        <w:t>（9）管道安装工程</w:t>
      </w:r>
    </w:p>
    <w:p>
      <w:pPr>
        <w:rPr>
          <w:rFonts w:hint="eastAsia"/>
          <w:color w:val="auto"/>
          <w:szCs w:val="28"/>
          <w:highlight w:val="none"/>
        </w:rPr>
      </w:pPr>
      <w:r>
        <w:rPr>
          <w:rFonts w:hint="eastAsia" w:ascii="宋体" w:hAnsi="宋体" w:cs="宋体"/>
          <w:color w:val="auto"/>
          <w:highlight w:val="none"/>
        </w:rPr>
        <w:t>《</w:t>
      </w:r>
      <w:r>
        <w:rPr>
          <w:rFonts w:hint="eastAsia" w:ascii="宋体" w:hAnsi="宋体" w:cs="宋体"/>
          <w:color w:val="auto"/>
          <w:szCs w:val="28"/>
          <w:highlight w:val="none"/>
        </w:rPr>
        <w:t>输气管道工程设计规范》</w:t>
      </w:r>
      <w:r>
        <w:rPr>
          <w:rFonts w:hint="eastAsia"/>
          <w:color w:val="auto"/>
          <w:szCs w:val="28"/>
          <w:highlight w:val="none"/>
        </w:rPr>
        <w:t>GB50251－2003</w:t>
      </w:r>
    </w:p>
    <w:p>
      <w:pPr>
        <w:rPr>
          <w:rFonts w:hint="eastAsia"/>
          <w:color w:val="auto"/>
          <w:szCs w:val="28"/>
          <w:highlight w:val="none"/>
        </w:rPr>
      </w:pPr>
      <w:r>
        <w:rPr>
          <w:rFonts w:hint="eastAsia"/>
          <w:color w:val="auto"/>
          <w:szCs w:val="28"/>
          <w:highlight w:val="none"/>
        </w:rPr>
        <w:t>《油气输送管道跨越工程施工规范》GB50460-2008</w:t>
      </w:r>
    </w:p>
    <w:p>
      <w:pPr>
        <w:rPr>
          <w:rFonts w:hint="eastAsia"/>
          <w:color w:val="auto"/>
          <w:szCs w:val="28"/>
          <w:highlight w:val="none"/>
        </w:rPr>
      </w:pPr>
      <w:r>
        <w:rPr>
          <w:rFonts w:hint="eastAsia"/>
          <w:color w:val="auto"/>
          <w:szCs w:val="28"/>
          <w:highlight w:val="none"/>
        </w:rPr>
        <w:t>《油气输送管道穿越工程设计规范》GB50423－2007</w:t>
      </w:r>
    </w:p>
    <w:p>
      <w:pPr>
        <w:rPr>
          <w:rFonts w:hint="eastAsia"/>
          <w:color w:val="auto"/>
          <w:szCs w:val="28"/>
          <w:highlight w:val="none"/>
        </w:rPr>
      </w:pPr>
      <w:r>
        <w:rPr>
          <w:rFonts w:hint="eastAsia"/>
          <w:color w:val="auto"/>
          <w:szCs w:val="28"/>
          <w:highlight w:val="none"/>
        </w:rPr>
        <w:t>《工业金属管道设计规范》GB50316－2000（2008年版）</w:t>
      </w:r>
    </w:p>
    <w:p>
      <w:pPr>
        <w:rPr>
          <w:rFonts w:hint="eastAsia"/>
          <w:color w:val="auto"/>
          <w:szCs w:val="28"/>
          <w:highlight w:val="none"/>
        </w:rPr>
      </w:pPr>
      <w:r>
        <w:rPr>
          <w:rFonts w:hint="eastAsia"/>
          <w:color w:val="auto"/>
          <w:szCs w:val="28"/>
          <w:highlight w:val="none"/>
        </w:rPr>
        <w:t>《油气长输管道工程施工及验收规范》GB50369-2006</w:t>
      </w:r>
    </w:p>
    <w:p>
      <w:pPr>
        <w:rPr>
          <w:rFonts w:hint="eastAsia"/>
          <w:color w:val="auto"/>
          <w:szCs w:val="28"/>
          <w:highlight w:val="none"/>
        </w:rPr>
      </w:pPr>
      <w:r>
        <w:rPr>
          <w:rFonts w:hint="eastAsia"/>
          <w:color w:val="auto"/>
          <w:szCs w:val="28"/>
          <w:highlight w:val="none"/>
        </w:rPr>
        <w:t>《城镇燃气输配工程施工及验收规范》CJJ33—2005</w:t>
      </w:r>
    </w:p>
    <w:p>
      <w:pPr>
        <w:rPr>
          <w:rFonts w:hint="eastAsia"/>
          <w:color w:val="auto"/>
          <w:szCs w:val="28"/>
          <w:highlight w:val="none"/>
        </w:rPr>
      </w:pPr>
      <w:r>
        <w:rPr>
          <w:rFonts w:hint="eastAsia"/>
          <w:color w:val="auto"/>
          <w:szCs w:val="28"/>
          <w:highlight w:val="none"/>
        </w:rPr>
        <w:t>《油气输送管道线路工程抗震技术规范》GB50470-2008</w:t>
      </w:r>
    </w:p>
    <w:p>
      <w:pPr>
        <w:rPr>
          <w:rFonts w:hint="eastAsia"/>
          <w:color w:val="auto"/>
          <w:szCs w:val="28"/>
          <w:highlight w:val="none"/>
        </w:rPr>
      </w:pPr>
      <w:r>
        <w:rPr>
          <w:rFonts w:hint="eastAsia"/>
          <w:color w:val="auto"/>
          <w:szCs w:val="28"/>
          <w:highlight w:val="none"/>
        </w:rPr>
        <w:t>《压力管道安全管理与监察规定》（原劳动部劳部发[1996]140号）</w:t>
      </w:r>
    </w:p>
    <w:p>
      <w:pPr>
        <w:rPr>
          <w:rFonts w:hint="eastAsia"/>
          <w:color w:val="auto"/>
          <w:szCs w:val="28"/>
          <w:highlight w:val="none"/>
        </w:rPr>
      </w:pPr>
      <w:r>
        <w:rPr>
          <w:rFonts w:hint="eastAsia"/>
          <w:color w:val="auto"/>
          <w:szCs w:val="28"/>
          <w:highlight w:val="none"/>
        </w:rPr>
        <w:t>《埋地钢质管道聚乙烯防腐层》GB/T23257-2009</w:t>
      </w:r>
    </w:p>
    <w:p>
      <w:pPr>
        <w:rPr>
          <w:rFonts w:hint="eastAsia"/>
          <w:color w:val="auto"/>
          <w:szCs w:val="28"/>
          <w:highlight w:val="none"/>
        </w:rPr>
      </w:pPr>
      <w:r>
        <w:rPr>
          <w:rFonts w:hint="eastAsia"/>
          <w:color w:val="auto"/>
          <w:szCs w:val="28"/>
          <w:highlight w:val="none"/>
        </w:rPr>
        <w:t>《埋地钢质管道阴极保护技术规范》GB/T21448-2008</w:t>
      </w:r>
    </w:p>
    <w:p>
      <w:pPr>
        <w:numPr>
          <w:ilvl w:val="0"/>
          <w:numId w:val="3"/>
        </w:numPr>
        <w:spacing w:line="480" w:lineRule="auto"/>
        <w:jc w:val="left"/>
        <w:rPr>
          <w:rFonts w:hint="eastAsia" w:asciiTheme="minorEastAsia" w:hAnsiTheme="minorEastAsia"/>
          <w:color w:val="auto"/>
          <w:sz w:val="28"/>
          <w:szCs w:val="28"/>
          <w:highlight w:val="none"/>
        </w:rPr>
      </w:pPr>
      <w:r>
        <w:rPr>
          <w:rFonts w:hint="eastAsia" w:asciiTheme="minorEastAsia" w:hAnsiTheme="minorEastAsia"/>
          <w:color w:val="auto"/>
          <w:sz w:val="28"/>
          <w:szCs w:val="28"/>
          <w:highlight w:val="none"/>
        </w:rPr>
        <w:t>防雷安装工程</w:t>
      </w:r>
    </w:p>
    <w:p>
      <w:pPr>
        <w:numPr>
          <w:ilvl w:val="0"/>
          <w:numId w:val="0"/>
        </w:numPr>
        <w:spacing w:line="480" w:lineRule="auto"/>
        <w:jc w:val="left"/>
        <w:rPr>
          <w:rFonts w:hint="eastAsia" w:asciiTheme="minorEastAsia" w:hAnsiTheme="minorEastAsia"/>
          <w:color w:val="auto"/>
          <w:sz w:val="28"/>
          <w:szCs w:val="28"/>
          <w:highlight w:val="none"/>
        </w:rPr>
      </w:pPr>
      <w:r>
        <w:rPr>
          <w:rFonts w:hint="eastAsia" w:asciiTheme="minorEastAsia" w:hAnsiTheme="minorEastAsia"/>
          <w:color w:val="auto"/>
          <w:sz w:val="28"/>
          <w:szCs w:val="28"/>
          <w:highlight w:val="none"/>
        </w:rPr>
        <w:t>《建筑物防雷设计规范》GB50057-2010</w:t>
      </w:r>
    </w:p>
    <w:p>
      <w:pPr>
        <w:numPr>
          <w:ilvl w:val="0"/>
          <w:numId w:val="0"/>
        </w:numPr>
        <w:spacing w:line="480" w:lineRule="auto"/>
        <w:jc w:val="left"/>
        <w:rPr>
          <w:rFonts w:asciiTheme="minorEastAsia" w:hAnsiTheme="minorEastAsia"/>
          <w:color w:val="auto"/>
          <w:sz w:val="28"/>
          <w:szCs w:val="28"/>
          <w:highlight w:val="none"/>
        </w:rPr>
      </w:pPr>
      <w:r>
        <w:rPr>
          <w:rFonts w:hint="eastAsia" w:asciiTheme="minorEastAsia" w:hAnsiTheme="minorEastAsia"/>
          <w:color w:val="auto"/>
          <w:sz w:val="28"/>
          <w:szCs w:val="28"/>
          <w:highlight w:val="none"/>
        </w:rPr>
        <w:t>《城镇燃气设计规范》GB50028-2006</w:t>
      </w:r>
    </w:p>
    <w:p>
      <w:pPr>
        <w:rPr>
          <w:rFonts w:hint="eastAsia"/>
          <w:color w:val="auto"/>
          <w:szCs w:val="28"/>
          <w:highlight w:val="none"/>
        </w:rPr>
      </w:pPr>
    </w:p>
    <w:p>
      <w:pPr>
        <w:pStyle w:val="3"/>
        <w:rPr>
          <w:color w:val="auto"/>
          <w:highlight w:val="none"/>
        </w:rPr>
      </w:pPr>
      <w:bookmarkStart w:id="28" w:name="_Toc7504"/>
      <w:r>
        <w:rPr>
          <w:rFonts w:hint="eastAsia"/>
          <w:color w:val="auto"/>
          <w:highlight w:val="none"/>
        </w:rPr>
        <w:t>5.2监管要求</w:t>
      </w:r>
      <w:bookmarkEnd w:id="28"/>
    </w:p>
    <w:p>
      <w:pPr>
        <w:spacing w:line="480" w:lineRule="auto"/>
        <w:jc w:val="left"/>
        <w:rPr>
          <w:color w:val="auto"/>
          <w:szCs w:val="28"/>
          <w:highlight w:val="none"/>
          <w:shd w:val="clear" w:color="auto" w:fill="FFFFFF"/>
        </w:rPr>
      </w:pPr>
      <w:r>
        <w:rPr>
          <w:rFonts w:hint="eastAsia"/>
          <w:color w:val="auto"/>
          <w:szCs w:val="28"/>
          <w:highlight w:val="none"/>
          <w:shd w:val="clear" w:color="auto" w:fill="FFFFFF"/>
          <w:lang w:val="en-US" w:eastAsia="zh-CN"/>
        </w:rPr>
        <w:t xml:space="preserve">    依据《基础设施及公用事业管理办法》及相关国家法律法规，</w:t>
      </w:r>
      <w:r>
        <w:rPr>
          <w:rFonts w:hint="eastAsia"/>
          <w:color w:val="auto"/>
          <w:szCs w:val="28"/>
          <w:highlight w:val="none"/>
          <w:shd w:val="clear" w:color="auto" w:fill="FFFFFF"/>
        </w:rPr>
        <w:t>政府对特许经营者的监管是公用设施市场化之后的必要措施，监管的目的是保证特许经营者的服务质量符合特许经营协议的有关规定，公众利益不受特许经营者的垄断地位所威胁和损害，确保特许经营者提供的公共服务的普遍性、稳定性、安全性、高质量、高效率、公平和价格合理。</w:t>
      </w:r>
    </w:p>
    <w:p>
      <w:pPr>
        <w:spacing w:line="480" w:lineRule="auto"/>
        <w:jc w:val="left"/>
        <w:rPr>
          <w:color w:val="auto"/>
          <w:szCs w:val="28"/>
          <w:highlight w:val="none"/>
          <w:shd w:val="clear" w:color="auto" w:fill="FFFFFF"/>
        </w:rPr>
      </w:pPr>
    </w:p>
    <w:p>
      <w:pPr>
        <w:spacing w:line="480" w:lineRule="auto"/>
        <w:jc w:val="left"/>
        <w:rPr>
          <w:color w:val="auto"/>
          <w:szCs w:val="28"/>
          <w:highlight w:val="none"/>
          <w:shd w:val="clear" w:color="auto" w:fill="FFFFFF"/>
        </w:rPr>
      </w:pPr>
    </w:p>
    <w:p>
      <w:pPr>
        <w:spacing w:line="480" w:lineRule="auto"/>
        <w:jc w:val="left"/>
        <w:rPr>
          <w:color w:val="auto"/>
          <w:szCs w:val="28"/>
          <w:highlight w:val="none"/>
          <w:shd w:val="clear" w:color="auto" w:fill="FFFFFF"/>
        </w:rPr>
      </w:pPr>
    </w:p>
    <w:p>
      <w:pPr>
        <w:spacing w:line="480" w:lineRule="auto"/>
        <w:jc w:val="left"/>
        <w:rPr>
          <w:color w:val="auto"/>
          <w:szCs w:val="28"/>
          <w:highlight w:val="none"/>
          <w:shd w:val="clear" w:color="auto" w:fill="FFFFFF"/>
        </w:rPr>
      </w:pPr>
    </w:p>
    <w:p>
      <w:pPr>
        <w:spacing w:line="480" w:lineRule="auto"/>
        <w:jc w:val="left"/>
        <w:rPr>
          <w:color w:val="auto"/>
          <w:szCs w:val="28"/>
          <w:highlight w:val="none"/>
          <w:shd w:val="clear" w:color="auto" w:fill="FFFFFF"/>
        </w:rPr>
      </w:pPr>
    </w:p>
    <w:p>
      <w:pPr>
        <w:spacing w:line="480" w:lineRule="auto"/>
        <w:jc w:val="left"/>
        <w:rPr>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r>
        <w:rPr>
          <w:rFonts w:cs="Times New Roman"/>
          <w:color w:val="auto"/>
          <w:szCs w:val="28"/>
          <w:highlight w:val="none"/>
          <w:shd w:val="clear" w:color="auto" w:fill="FFFFFF"/>
        </w:rPr>
        <w:br w:type="page"/>
      </w:r>
    </w:p>
    <w:p>
      <w:pPr>
        <w:pStyle w:val="2"/>
        <w:rPr>
          <w:color w:val="auto"/>
          <w:highlight w:val="none"/>
          <w:shd w:val="clear" w:color="auto" w:fill="FFFFFF"/>
        </w:rPr>
      </w:pPr>
      <w:bookmarkStart w:id="29" w:name="_Toc6413"/>
      <w:r>
        <w:rPr>
          <w:rFonts w:hint="eastAsia"/>
          <w:color w:val="auto"/>
          <w:highlight w:val="none"/>
          <w:shd w:val="clear" w:color="auto" w:fill="FFFFFF"/>
        </w:rPr>
        <w:t>6.</w:t>
      </w:r>
      <w:r>
        <w:rPr>
          <w:color w:val="auto"/>
          <w:highlight w:val="none"/>
          <w:shd w:val="clear" w:color="auto" w:fill="FFFFFF"/>
        </w:rPr>
        <w:t>市场发育程度</w:t>
      </w:r>
      <w:r>
        <w:rPr>
          <w:rFonts w:hint="eastAsia"/>
          <w:color w:val="auto"/>
          <w:highlight w:val="none"/>
          <w:shd w:val="clear" w:color="auto" w:fill="FFFFFF"/>
        </w:rPr>
        <w:t>、</w:t>
      </w:r>
      <w:r>
        <w:rPr>
          <w:color w:val="auto"/>
          <w:highlight w:val="none"/>
          <w:shd w:val="clear" w:color="auto" w:fill="FFFFFF"/>
        </w:rPr>
        <w:t>市场主体建设运营能力状况和参与意愿</w:t>
      </w:r>
      <w:bookmarkEnd w:id="29"/>
    </w:p>
    <w:p>
      <w:pPr>
        <w:pStyle w:val="3"/>
        <w:rPr>
          <w:color w:val="auto"/>
          <w:highlight w:val="none"/>
        </w:rPr>
      </w:pPr>
      <w:bookmarkStart w:id="30" w:name="_Toc24850"/>
      <w:r>
        <w:rPr>
          <w:rFonts w:hint="eastAsia"/>
          <w:color w:val="auto"/>
          <w:highlight w:val="none"/>
        </w:rPr>
        <w:t>6.1</w:t>
      </w:r>
      <w:r>
        <w:rPr>
          <w:color w:val="auto"/>
          <w:highlight w:val="none"/>
        </w:rPr>
        <w:t>市场发育程度</w:t>
      </w:r>
      <w:bookmarkEnd w:id="30"/>
    </w:p>
    <w:p>
      <w:pPr>
        <w:widowControl/>
        <w:spacing w:before="156" w:beforeLines="50"/>
        <w:jc w:val="left"/>
        <w:rPr>
          <w:rFonts w:ascii="Calibri" w:hAnsi="Calibri"/>
          <w:color w:val="auto"/>
          <w:szCs w:val="28"/>
          <w:highlight w:val="none"/>
        </w:rPr>
      </w:pPr>
      <w:r>
        <w:rPr>
          <w:rFonts w:hint="eastAsia" w:ascii="Calibri" w:hAnsi="Calibri"/>
          <w:color w:val="auto"/>
          <w:szCs w:val="28"/>
          <w:highlight w:val="none"/>
        </w:rPr>
        <w:t>6.1.1</w:t>
      </w:r>
      <w:r>
        <w:rPr>
          <w:rFonts w:ascii="Calibri" w:hAnsi="Calibri"/>
          <w:color w:val="auto"/>
          <w:szCs w:val="28"/>
          <w:highlight w:val="none"/>
        </w:rPr>
        <w:t>燃气管道行业市场现状</w:t>
      </w:r>
    </w:p>
    <w:p>
      <w:pPr>
        <w:widowControl/>
        <w:spacing w:before="156" w:beforeLines="50"/>
        <w:jc w:val="left"/>
        <w:rPr>
          <w:rFonts w:hint="eastAsia" w:ascii="Calibri" w:hAnsi="Calibri"/>
          <w:color w:val="auto"/>
          <w:szCs w:val="28"/>
          <w:highlight w:val="none"/>
        </w:rPr>
      </w:pPr>
      <w:r>
        <w:rPr>
          <w:rFonts w:hint="eastAsia" w:ascii="Calibri" w:hAnsi="Calibri"/>
          <w:color w:val="auto"/>
          <w:szCs w:val="28"/>
          <w:highlight w:val="none"/>
        </w:rPr>
        <w:t xml:space="preserve">   阳山县目前仅有阳山碧桂园有部分管道液化石油气供应，没有专业的管道</w:t>
      </w:r>
      <w:r>
        <w:rPr>
          <w:rFonts w:hint="eastAsia" w:ascii="Calibri" w:hAnsi="Calibri"/>
          <w:color w:val="auto"/>
          <w:szCs w:val="28"/>
          <w:highlight w:val="none"/>
          <w:lang w:val="en-US" w:eastAsia="zh-CN"/>
        </w:rPr>
        <w:t>燃气</w:t>
      </w:r>
      <w:r>
        <w:rPr>
          <w:rFonts w:hint="eastAsia" w:ascii="Calibri" w:hAnsi="Calibri"/>
          <w:color w:val="auto"/>
          <w:szCs w:val="28"/>
          <w:highlight w:val="none"/>
        </w:rPr>
        <w:t>特许经营项目公司。</w:t>
      </w:r>
    </w:p>
    <w:p>
      <w:pPr>
        <w:widowControl/>
        <w:spacing w:before="156" w:beforeLines="50"/>
        <w:jc w:val="left"/>
        <w:rPr>
          <w:rFonts w:ascii="Calibri" w:hAnsi="Calibri"/>
          <w:color w:val="auto"/>
          <w:szCs w:val="28"/>
          <w:highlight w:val="none"/>
        </w:rPr>
      </w:pPr>
      <w:r>
        <w:rPr>
          <w:rFonts w:hint="eastAsia" w:ascii="Calibri" w:hAnsi="Calibri"/>
          <w:color w:val="auto"/>
          <w:szCs w:val="28"/>
          <w:highlight w:val="none"/>
        </w:rPr>
        <w:t>6.1.2</w:t>
      </w:r>
      <w:r>
        <w:rPr>
          <w:rFonts w:ascii="Calibri" w:hAnsi="Calibri"/>
          <w:color w:val="auto"/>
          <w:szCs w:val="28"/>
          <w:highlight w:val="none"/>
        </w:rPr>
        <w:t>燃气管道行业市场前景</w:t>
      </w:r>
    </w:p>
    <w:p>
      <w:pPr>
        <w:widowControl/>
        <w:spacing w:before="156" w:beforeLines="50"/>
        <w:jc w:val="left"/>
        <w:rPr>
          <w:rFonts w:ascii="Calibri" w:hAnsi="Calibri"/>
          <w:color w:val="auto"/>
          <w:szCs w:val="28"/>
          <w:highlight w:val="none"/>
        </w:rPr>
      </w:pPr>
      <w:r>
        <w:rPr>
          <w:rFonts w:hint="eastAsia" w:ascii="Calibri" w:hAnsi="Calibri"/>
          <w:color w:val="auto"/>
          <w:szCs w:val="28"/>
          <w:highlight w:val="none"/>
        </w:rPr>
        <w:t xml:space="preserve">    目前阳山县管道燃气处于空白状态，在得到政府政策支持的情况下，有极大的发展空间。</w:t>
      </w:r>
    </w:p>
    <w:p>
      <w:pPr>
        <w:widowControl/>
        <w:spacing w:before="156" w:beforeLines="50"/>
        <w:jc w:val="left"/>
        <w:rPr>
          <w:rFonts w:ascii="Calibri" w:hAnsi="Calibri"/>
          <w:color w:val="auto"/>
          <w:szCs w:val="28"/>
          <w:highlight w:val="none"/>
        </w:rPr>
      </w:pPr>
      <w:r>
        <w:rPr>
          <w:rFonts w:hint="eastAsia" w:cs="Times New Roman"/>
          <w:color w:val="auto"/>
          <w:szCs w:val="28"/>
          <w:highlight w:val="none"/>
          <w:shd w:val="clear" w:color="auto" w:fill="FFFFFF"/>
        </w:rPr>
        <w:t xml:space="preserve">   </w:t>
      </w:r>
      <w:r>
        <w:rPr>
          <w:rFonts w:hint="eastAsia" w:ascii="Calibri" w:hAnsi="Calibri"/>
          <w:color w:val="auto"/>
          <w:szCs w:val="28"/>
          <w:highlight w:val="none"/>
        </w:rPr>
        <w:t xml:space="preserve"> 政府对城市规划区内新建住宅小区，应执行“四同时”政策，即燃气管道与住宅应同时规划、同时设计、同时施工、同时验收。新建住宅未同步建设燃气管道设施的，有关规划、住建等部门不予批准开工建设和组织验收。</w:t>
      </w:r>
    </w:p>
    <w:p>
      <w:pPr>
        <w:spacing w:line="480" w:lineRule="auto"/>
        <w:jc w:val="left"/>
        <w:rPr>
          <w:rFonts w:cs="Times New Roman" w:eastAsiaTheme="minorEastAsia"/>
          <w:color w:val="auto"/>
          <w:szCs w:val="28"/>
          <w:highlight w:val="none"/>
          <w:shd w:val="clear" w:color="auto" w:fill="FFFFFF"/>
        </w:rPr>
      </w:pPr>
      <w:r>
        <w:rPr>
          <w:rFonts w:hint="eastAsia" w:ascii="Calibri" w:hAnsi="Calibri"/>
          <w:color w:val="auto"/>
          <w:szCs w:val="28"/>
          <w:highlight w:val="none"/>
        </w:rPr>
        <w:t xml:space="preserve">    政府应积极推行环保政策，出台鼓励使用清洁能源燃气的相关政策，逐步提高清洁能源在城市中的利用比例，在城市内严格控制用煤量及排污总量，有效控制大气污染，为城市居民营造良好的生存环境。</w:t>
      </w:r>
    </w:p>
    <w:p>
      <w:pPr>
        <w:spacing w:line="480" w:lineRule="auto"/>
        <w:jc w:val="left"/>
        <w:rPr>
          <w:rFonts w:ascii="Calibri" w:hAnsi="Calibri"/>
          <w:color w:val="auto"/>
          <w:szCs w:val="28"/>
          <w:highlight w:val="none"/>
        </w:rPr>
      </w:pPr>
      <w:r>
        <w:rPr>
          <w:rFonts w:hint="eastAsia" w:ascii="Calibri" w:hAnsi="Calibri"/>
          <w:color w:val="auto"/>
          <w:szCs w:val="28"/>
          <w:highlight w:val="none"/>
        </w:rPr>
        <w:t>6.1.3</w:t>
      </w:r>
      <w:r>
        <w:rPr>
          <w:rFonts w:ascii="Calibri" w:hAnsi="Calibri"/>
          <w:color w:val="auto"/>
          <w:szCs w:val="28"/>
          <w:highlight w:val="none"/>
        </w:rPr>
        <w:t>燃气管道行业运营模式</w:t>
      </w:r>
    </w:p>
    <w:p>
      <w:pPr>
        <w:spacing w:line="480" w:lineRule="auto"/>
        <w:jc w:val="left"/>
        <w:rPr>
          <w:rFonts w:ascii="Calibri" w:hAnsi="Calibri"/>
          <w:color w:val="auto"/>
          <w:szCs w:val="28"/>
          <w:highlight w:val="none"/>
        </w:rPr>
      </w:pPr>
      <w:r>
        <w:rPr>
          <w:rFonts w:hint="eastAsia" w:ascii="Calibri" w:hAnsi="Calibri"/>
          <w:color w:val="auto"/>
          <w:szCs w:val="28"/>
          <w:highlight w:val="none"/>
        </w:rPr>
        <w:t xml:space="preserve">    国内大多数城市均采用特许经营的方式，授权有关企业在规定的区域和时限内</w:t>
      </w:r>
      <w:r>
        <w:rPr>
          <w:rFonts w:hint="eastAsia" w:ascii="Calibri" w:hAnsi="Calibri"/>
          <w:color w:val="auto"/>
          <w:szCs w:val="28"/>
          <w:highlight w:val="none"/>
          <w:lang w:eastAsia="zh-CN"/>
        </w:rPr>
        <w:t>独家</w:t>
      </w:r>
      <w:r>
        <w:rPr>
          <w:rFonts w:hint="eastAsia" w:ascii="Calibri" w:hAnsi="Calibri"/>
          <w:color w:val="auto"/>
          <w:szCs w:val="28"/>
          <w:highlight w:val="none"/>
        </w:rPr>
        <w:t>发展燃气管道事业。</w:t>
      </w:r>
    </w:p>
    <w:p>
      <w:pPr>
        <w:spacing w:line="480" w:lineRule="auto"/>
        <w:jc w:val="left"/>
        <w:rPr>
          <w:rFonts w:ascii="Calibri" w:hAnsi="Calibri"/>
          <w:color w:val="auto"/>
          <w:szCs w:val="28"/>
          <w:highlight w:val="none"/>
        </w:rPr>
      </w:pPr>
      <w:r>
        <w:rPr>
          <w:rFonts w:hint="eastAsia" w:ascii="Calibri" w:hAnsi="Calibri"/>
          <w:color w:val="auto"/>
          <w:szCs w:val="28"/>
          <w:highlight w:val="none"/>
        </w:rPr>
        <w:t>6.1.4</w:t>
      </w:r>
      <w:r>
        <w:rPr>
          <w:rFonts w:ascii="Calibri" w:hAnsi="Calibri"/>
          <w:color w:val="auto"/>
          <w:szCs w:val="28"/>
          <w:highlight w:val="none"/>
        </w:rPr>
        <w:t>燃气管道行业市场发育程度</w:t>
      </w:r>
    </w:p>
    <w:p>
      <w:pPr>
        <w:spacing w:line="480" w:lineRule="auto"/>
        <w:jc w:val="left"/>
        <w:rPr>
          <w:rFonts w:cs="Times New Roman"/>
          <w:color w:val="auto"/>
          <w:szCs w:val="28"/>
          <w:highlight w:val="none"/>
          <w:shd w:val="clear" w:color="auto" w:fill="FFFFFF"/>
        </w:rPr>
      </w:pPr>
      <w:r>
        <w:rPr>
          <w:rFonts w:hint="eastAsia" w:ascii="Calibri" w:hAnsi="Calibri"/>
          <w:color w:val="auto"/>
          <w:szCs w:val="28"/>
          <w:highlight w:val="none"/>
        </w:rPr>
        <w:t xml:space="preserve">    </w:t>
      </w:r>
      <w:r>
        <w:rPr>
          <w:rFonts w:ascii="Calibri" w:hAnsi="Calibri"/>
          <w:color w:val="auto"/>
          <w:szCs w:val="28"/>
          <w:highlight w:val="none"/>
        </w:rPr>
        <w:t>2000年以前，由于气源短缺，加之配套设施不完善，</w:t>
      </w:r>
      <w:r>
        <w:rPr>
          <w:rFonts w:hint="eastAsia" w:ascii="Calibri" w:hAnsi="Calibri"/>
          <w:color w:val="auto"/>
          <w:szCs w:val="28"/>
          <w:highlight w:val="none"/>
        </w:rPr>
        <w:t>除</w:t>
      </w:r>
      <w:r>
        <w:rPr>
          <w:rFonts w:ascii="Calibri" w:hAnsi="Calibri"/>
          <w:color w:val="auto"/>
          <w:szCs w:val="28"/>
          <w:highlight w:val="none"/>
        </w:rPr>
        <w:t>部分大中城市以外都没有建设</w:t>
      </w:r>
      <w:r>
        <w:rPr>
          <w:rFonts w:hint="eastAsia" w:ascii="Calibri" w:hAnsi="Calibri"/>
          <w:color w:val="auto"/>
          <w:szCs w:val="28"/>
          <w:highlight w:val="none"/>
        </w:rPr>
        <w:t>管道</w:t>
      </w:r>
      <w:r>
        <w:rPr>
          <w:rFonts w:ascii="Calibri" w:hAnsi="Calibri"/>
          <w:color w:val="auto"/>
          <w:szCs w:val="28"/>
          <w:highlight w:val="none"/>
        </w:rPr>
        <w:t>燃气设施</w:t>
      </w:r>
      <w:r>
        <w:rPr>
          <w:rFonts w:hint="eastAsia" w:ascii="Calibri" w:hAnsi="Calibri"/>
          <w:color w:val="auto"/>
          <w:szCs w:val="28"/>
          <w:highlight w:val="none"/>
        </w:rPr>
        <w:t>。随着西气东输工程的建设，</w:t>
      </w:r>
      <w:r>
        <w:rPr>
          <w:rFonts w:ascii="Calibri" w:hAnsi="Calibri"/>
          <w:color w:val="auto"/>
          <w:szCs w:val="28"/>
          <w:highlight w:val="none"/>
        </w:rPr>
        <w:t>至2012年底，</w:t>
      </w:r>
      <w:r>
        <w:rPr>
          <w:rFonts w:cs="Times New Roman"/>
          <w:color w:val="auto"/>
          <w:szCs w:val="28"/>
          <w:highlight w:val="none"/>
          <w:shd w:val="clear" w:color="auto" w:fill="FFFFFF"/>
        </w:rPr>
        <w:t>我国天然气主干管道总里程约5.5万千米，初步形成了以西气东输一线、西气东输二线、川气东送、陕京线一线、陕京二线、陕京三线等天然气管道为主干线，以兰银线、淮武线、冀宁线为联络线的国家基干管网，同时川渝、华北、长江三角洲等地区已经形成相对完善的区域管网</w:t>
      </w:r>
      <w:r>
        <w:rPr>
          <w:rFonts w:hint="eastAsia" w:cs="Times New Roman"/>
          <w:color w:val="auto"/>
          <w:szCs w:val="28"/>
          <w:highlight w:val="none"/>
          <w:shd w:val="clear" w:color="auto" w:fill="FFFFFF"/>
        </w:rPr>
        <w:t>。</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目前下游城市燃气管道的建设各方面业务仍处于快速提升的成长期。在此阶段，市场需求不断扩大，销售气量日益增长，国内外各种投资主体大量涌入该行业。大型燃气企业着力扩大生产规模，拓宽经营领域和范围，</w:t>
      </w:r>
    </w:p>
    <w:p>
      <w:pPr>
        <w:pStyle w:val="32"/>
        <w:shd w:val="clear" w:color="auto" w:fill="FFFFFF"/>
        <w:tabs>
          <w:tab w:val="left" w:pos="7461"/>
        </w:tabs>
        <w:spacing w:before="0" w:beforeAutospacing="0" w:after="0" w:afterAutospacing="0"/>
        <w:rPr>
          <w:rFonts w:cs="Times New Roman" w:asciiTheme="minorHAnsi" w:hAnsiTheme="minorHAnsi"/>
          <w:color w:val="auto"/>
          <w:kern w:val="2"/>
          <w:sz w:val="28"/>
          <w:szCs w:val="28"/>
          <w:highlight w:val="none"/>
          <w:shd w:val="clear" w:color="auto" w:fill="FFFFFF"/>
        </w:rPr>
      </w:pPr>
      <w:r>
        <w:rPr>
          <w:rFonts w:hint="eastAsia" w:cs="Times New Roman" w:asciiTheme="minorHAnsi" w:hAnsiTheme="minorHAnsi"/>
          <w:color w:val="auto"/>
          <w:kern w:val="2"/>
          <w:sz w:val="28"/>
          <w:szCs w:val="28"/>
          <w:highlight w:val="none"/>
          <w:shd w:val="clear" w:color="auto" w:fill="FFFFFF"/>
        </w:rPr>
        <w:t>改进经营管理模式，降低生产成本以应对现有及新进竞争对手。</w:t>
      </w:r>
    </w:p>
    <w:p>
      <w:pPr>
        <w:pStyle w:val="32"/>
        <w:shd w:val="clear" w:color="auto" w:fill="FFFFFF"/>
        <w:tabs>
          <w:tab w:val="left" w:pos="7461"/>
        </w:tabs>
        <w:spacing w:before="0" w:beforeAutospacing="0" w:after="0" w:afterAutospacing="0"/>
        <w:rPr>
          <w:rFonts w:cs="Times New Roman" w:asciiTheme="minorHAnsi" w:hAnsiTheme="minorHAnsi"/>
          <w:color w:val="auto"/>
          <w:kern w:val="2"/>
          <w:sz w:val="28"/>
          <w:szCs w:val="28"/>
          <w:highlight w:val="none"/>
          <w:shd w:val="clear" w:color="auto" w:fill="FFFFFF"/>
        </w:rPr>
      </w:pPr>
      <w:r>
        <w:rPr>
          <w:rFonts w:hint="eastAsia" w:cs="Times New Roman" w:asciiTheme="minorHAnsi" w:hAnsiTheme="minorHAnsi"/>
          <w:color w:val="auto"/>
          <w:kern w:val="2"/>
          <w:sz w:val="28"/>
          <w:szCs w:val="28"/>
          <w:highlight w:val="none"/>
          <w:shd w:val="clear" w:color="auto" w:fill="FFFFFF"/>
        </w:rPr>
        <w:t xml:space="preserve">    中小燃气企业利用属地优势，立足中小城市，稳固经营根基，同时还将应对来自大型燃气企业的兼并与重组。</w:t>
      </w:r>
    </w:p>
    <w:p>
      <w:pPr>
        <w:pStyle w:val="3"/>
        <w:rPr>
          <w:color w:val="auto"/>
          <w:highlight w:val="none"/>
          <w:shd w:val="clear" w:color="auto" w:fill="FFFFFF"/>
        </w:rPr>
      </w:pPr>
      <w:bookmarkStart w:id="31" w:name="_Toc193"/>
      <w:r>
        <w:rPr>
          <w:rFonts w:hint="eastAsia"/>
          <w:color w:val="auto"/>
          <w:highlight w:val="none"/>
          <w:shd w:val="clear" w:color="auto" w:fill="FFFFFF"/>
        </w:rPr>
        <w:t>6.2</w:t>
      </w:r>
      <w:r>
        <w:rPr>
          <w:color w:val="auto"/>
          <w:highlight w:val="none"/>
          <w:shd w:val="clear" w:color="auto" w:fill="FFFFFF"/>
        </w:rPr>
        <w:t>市场主体建设运营能力状况和参与意愿</w:t>
      </w:r>
      <w:bookmarkEnd w:id="31"/>
    </w:p>
    <w:p>
      <w:pPr>
        <w:pStyle w:val="20"/>
        <w:widowControl/>
        <w:spacing w:before="168" w:beforeAutospacing="0" w:after="168" w:afterAutospacing="0"/>
        <w:rPr>
          <w:color w:val="auto"/>
          <w:kern w:val="2"/>
          <w:sz w:val="28"/>
          <w:szCs w:val="28"/>
          <w:highlight w:val="none"/>
          <w:shd w:val="clear" w:color="auto" w:fill="FFFFFF"/>
        </w:rPr>
      </w:pPr>
      <w:r>
        <w:rPr>
          <w:rFonts w:hint="eastAsia"/>
          <w:color w:val="auto"/>
          <w:szCs w:val="28"/>
          <w:highlight w:val="none"/>
          <w:shd w:val="clear" w:color="auto" w:fill="FFFFFF"/>
        </w:rPr>
        <w:t xml:space="preserve"> </w:t>
      </w:r>
      <w:r>
        <w:rPr>
          <w:rFonts w:hint="eastAsia"/>
          <w:color w:val="auto"/>
          <w:kern w:val="2"/>
          <w:sz w:val="28"/>
          <w:szCs w:val="28"/>
          <w:highlight w:val="none"/>
          <w:shd w:val="clear" w:color="auto" w:fill="FFFFFF"/>
        </w:rPr>
        <w:t xml:space="preserve">    </w:t>
      </w:r>
      <w:r>
        <w:rPr>
          <w:color w:val="auto"/>
          <w:kern w:val="2"/>
          <w:sz w:val="28"/>
          <w:szCs w:val="28"/>
          <w:highlight w:val="none"/>
          <w:shd w:val="clear" w:color="auto" w:fill="FFFFFF"/>
        </w:rPr>
        <w:t>2002年我国鼓励发展天然气起，到2004年《市政公用事业特许经营管理办法》的实施，过去十多年间，全国</w:t>
      </w:r>
      <w:r>
        <w:rPr>
          <w:rFonts w:hint="eastAsia"/>
          <w:color w:val="auto"/>
          <w:kern w:val="2"/>
          <w:sz w:val="28"/>
          <w:szCs w:val="28"/>
          <w:highlight w:val="none"/>
          <w:shd w:val="clear" w:color="auto" w:fill="FFFFFF"/>
        </w:rPr>
        <w:t>大部分</w:t>
      </w:r>
      <w:r>
        <w:rPr>
          <w:color w:val="auto"/>
          <w:kern w:val="2"/>
          <w:sz w:val="28"/>
          <w:szCs w:val="28"/>
          <w:highlight w:val="none"/>
          <w:shd w:val="clear" w:color="auto" w:fill="FFFFFF"/>
        </w:rPr>
        <w:t>城市(包括经济落后的西部和西南偏远地区)的燃气专营权已被地方政府售出。央企国资、外资、民营</w:t>
      </w:r>
      <w:r>
        <w:rPr>
          <w:rFonts w:hint="eastAsia"/>
          <w:color w:val="auto"/>
          <w:kern w:val="2"/>
          <w:sz w:val="28"/>
          <w:szCs w:val="28"/>
          <w:highlight w:val="none"/>
          <w:shd w:val="clear" w:color="auto" w:fill="FFFFFF"/>
        </w:rPr>
        <w:t>等</w:t>
      </w:r>
      <w:r>
        <w:rPr>
          <w:color w:val="auto"/>
          <w:kern w:val="2"/>
          <w:sz w:val="28"/>
          <w:szCs w:val="28"/>
          <w:highlight w:val="none"/>
          <w:shd w:val="clear" w:color="auto" w:fill="FFFFFF"/>
        </w:rPr>
        <w:t>燃气公司在</w:t>
      </w:r>
      <w:r>
        <w:rPr>
          <w:rFonts w:hint="eastAsia"/>
          <w:color w:val="auto"/>
          <w:kern w:val="2"/>
          <w:sz w:val="28"/>
          <w:szCs w:val="28"/>
          <w:highlight w:val="none"/>
          <w:shd w:val="clear" w:color="auto" w:fill="FFFFFF"/>
        </w:rPr>
        <w:t>抢占、</w:t>
      </w:r>
      <w:r>
        <w:rPr>
          <w:color w:val="auto"/>
          <w:kern w:val="2"/>
          <w:sz w:val="28"/>
          <w:szCs w:val="28"/>
          <w:highlight w:val="none"/>
          <w:shd w:val="clear" w:color="auto" w:fill="FFFFFF"/>
        </w:rPr>
        <w:t>分割中国的城市燃气市场，国内天然气市场战略布局已基本完成。</w:t>
      </w:r>
    </w:p>
    <w:p>
      <w:pPr>
        <w:pStyle w:val="20"/>
        <w:widowControl/>
        <w:spacing w:before="168" w:beforeAutospacing="0" w:after="168" w:afterAutospacing="0" w:line="240" w:lineRule="auto"/>
        <w:rPr>
          <w:rStyle w:val="22"/>
          <w:rFonts w:ascii="Arial" w:hAnsi="Arial" w:cs="Arial"/>
          <w:color w:val="auto"/>
          <w:sz w:val="21"/>
          <w:szCs w:val="21"/>
          <w:highlight w:val="none"/>
        </w:rPr>
      </w:pPr>
      <w:r>
        <w:rPr>
          <w:rFonts w:hint="eastAsia"/>
          <w:color w:val="auto"/>
          <w:kern w:val="2"/>
          <w:sz w:val="28"/>
          <w:szCs w:val="28"/>
          <w:highlight w:val="none"/>
          <w:shd w:val="clear" w:color="auto" w:fill="FFFFFF"/>
        </w:rPr>
        <w:t xml:space="preserve">    国内管道燃气主要建设主体有央企的华润燃气集团</w:t>
      </w:r>
      <w:r>
        <w:rPr>
          <w:rFonts w:hint="eastAsia"/>
          <w:color w:val="auto"/>
          <w:kern w:val="2"/>
          <w:sz w:val="28"/>
          <w:szCs w:val="28"/>
          <w:highlight w:val="none"/>
          <w:shd w:val="clear" w:color="auto" w:fill="FFFFFF"/>
          <w:lang w:eastAsia="zh-CN"/>
        </w:rPr>
        <w:t>，</w:t>
      </w:r>
      <w:r>
        <w:rPr>
          <w:rFonts w:hint="eastAsia"/>
          <w:color w:val="auto"/>
          <w:kern w:val="2"/>
          <w:sz w:val="28"/>
          <w:szCs w:val="28"/>
          <w:highlight w:val="none"/>
          <w:shd w:val="clear" w:color="auto" w:fill="FFFFFF"/>
        </w:rPr>
        <w:t>外资的港华燃气、中国燃气，民营的新奥燃气等</w:t>
      </w:r>
      <w:r>
        <w:rPr>
          <w:rFonts w:hint="default"/>
          <w:color w:val="auto"/>
          <w:kern w:val="2"/>
          <w:sz w:val="28"/>
          <w:szCs w:val="28"/>
          <w:highlight w:val="none"/>
          <w:shd w:val="clear" w:color="auto" w:fill="FFFFFF"/>
          <w:lang w:eastAsia="zh-CN"/>
        </w:rPr>
        <w:t>，</w:t>
      </w:r>
      <w:r>
        <w:rPr>
          <w:rFonts w:hint="eastAsia"/>
          <w:color w:val="auto"/>
          <w:kern w:val="2"/>
          <w:sz w:val="28"/>
          <w:szCs w:val="28"/>
          <w:highlight w:val="none"/>
          <w:shd w:val="clear" w:color="auto" w:fill="FFFFFF"/>
          <w:lang w:val="en-US" w:eastAsia="zh-CN"/>
        </w:rPr>
        <w:t>其中</w:t>
      </w:r>
      <w:r>
        <w:rPr>
          <w:rFonts w:hint="default" w:cs="Times New Roman"/>
          <w:color w:val="auto"/>
          <w:kern w:val="2"/>
          <w:sz w:val="28"/>
          <w:szCs w:val="28"/>
          <w:highlight w:val="none"/>
          <w:shd w:val="clear" w:color="auto" w:fill="FFFFFF"/>
        </w:rPr>
        <w:t>华润燃气</w:t>
      </w:r>
      <w:r>
        <w:rPr>
          <w:rFonts w:hint="eastAsia" w:cs="Times New Roman"/>
          <w:color w:val="auto"/>
          <w:kern w:val="2"/>
          <w:sz w:val="28"/>
          <w:szCs w:val="28"/>
          <w:highlight w:val="none"/>
          <w:shd w:val="clear" w:color="auto" w:fill="FFFFFF"/>
          <w:lang w:val="en-US" w:eastAsia="zh-CN"/>
        </w:rPr>
        <w:t>业已</w:t>
      </w:r>
      <w:r>
        <w:rPr>
          <w:rFonts w:hint="default" w:cs="Times New Roman"/>
          <w:color w:val="auto"/>
          <w:kern w:val="2"/>
          <w:sz w:val="28"/>
          <w:szCs w:val="28"/>
          <w:highlight w:val="none"/>
          <w:shd w:val="clear" w:color="auto" w:fill="FFFFFF"/>
        </w:rPr>
        <w:t>发展成为中国最大的城市燃气运营商。</w:t>
      </w:r>
      <w:r>
        <w:rPr>
          <w:rFonts w:hint="eastAsia" w:cs="Times New Roman"/>
          <w:color w:val="auto"/>
          <w:kern w:val="2"/>
          <w:sz w:val="28"/>
          <w:szCs w:val="28"/>
          <w:highlight w:val="none"/>
          <w:shd w:val="clear" w:color="auto" w:fill="FFFFFF"/>
          <w:lang w:val="en-US" w:eastAsia="zh-CN"/>
        </w:rPr>
        <w:t>上述各燃气集团</w:t>
      </w:r>
      <w:r>
        <w:rPr>
          <w:rFonts w:hint="eastAsia"/>
          <w:color w:val="auto"/>
          <w:kern w:val="2"/>
          <w:sz w:val="28"/>
          <w:szCs w:val="28"/>
          <w:highlight w:val="none"/>
          <w:shd w:val="clear" w:color="auto" w:fill="FFFFFF"/>
        </w:rPr>
        <w:t>均有较强的实力和投资意愿</w:t>
      </w:r>
      <w:r>
        <w:rPr>
          <w:rFonts w:hint="eastAsia"/>
          <w:color w:val="auto"/>
          <w:kern w:val="2"/>
          <w:sz w:val="28"/>
          <w:szCs w:val="28"/>
          <w:highlight w:val="none"/>
          <w:shd w:val="clear" w:color="auto" w:fill="FFFFFF"/>
          <w:lang w:eastAsia="zh-CN"/>
        </w:rPr>
        <w:t>，</w:t>
      </w:r>
      <w:r>
        <w:rPr>
          <w:rFonts w:hint="eastAsia"/>
          <w:color w:val="auto"/>
          <w:kern w:val="2"/>
          <w:sz w:val="28"/>
          <w:szCs w:val="28"/>
          <w:highlight w:val="none"/>
          <w:shd w:val="clear" w:color="auto" w:fill="FFFFFF"/>
        </w:rPr>
        <w:t>阳山县管道燃气项目作为极少数未被授予出去的特许经营项目，必将引起各大燃气集团的争夺。</w:t>
      </w:r>
    </w:p>
    <w:p>
      <w:pPr>
        <w:pStyle w:val="20"/>
        <w:widowControl/>
        <w:spacing w:before="168" w:beforeAutospacing="0" w:after="168" w:afterAutospacing="0" w:line="30" w:lineRule="atLeast"/>
        <w:rPr>
          <w:rFonts w:hint="eastAsia"/>
          <w:color w:val="auto"/>
          <w:highlight w:val="none"/>
          <w:shd w:val="clear" w:color="auto" w:fill="FFFFFF"/>
        </w:rPr>
      </w:pPr>
    </w:p>
    <w:p>
      <w:pPr>
        <w:pStyle w:val="2"/>
        <w:rPr>
          <w:color w:val="auto"/>
          <w:highlight w:val="none"/>
        </w:rPr>
      </w:pPr>
      <w:bookmarkStart w:id="32" w:name="_Toc32300"/>
      <w:r>
        <w:rPr>
          <w:rFonts w:hint="eastAsia"/>
          <w:color w:val="auto"/>
          <w:highlight w:val="none"/>
        </w:rPr>
        <w:t>7.</w:t>
      </w:r>
      <w:r>
        <w:rPr>
          <w:color w:val="auto"/>
          <w:highlight w:val="none"/>
        </w:rPr>
        <w:t>用户付费项目公众支付意愿和能力评估</w:t>
      </w:r>
      <w:bookmarkEnd w:id="32"/>
    </w:p>
    <w:p>
      <w:pPr>
        <w:pStyle w:val="3"/>
        <w:rPr>
          <w:color w:val="auto"/>
          <w:highlight w:val="none"/>
          <w:shd w:val="clear" w:color="auto" w:fill="FFFFFF"/>
        </w:rPr>
      </w:pPr>
      <w:bookmarkStart w:id="33" w:name="_Toc25972"/>
      <w:r>
        <w:rPr>
          <w:rFonts w:hint="eastAsia"/>
          <w:color w:val="auto"/>
          <w:highlight w:val="none"/>
          <w:shd w:val="clear" w:color="auto" w:fill="FFFFFF"/>
        </w:rPr>
        <w:t>7.1</w:t>
      </w:r>
      <w:r>
        <w:rPr>
          <w:color w:val="auto"/>
          <w:highlight w:val="none"/>
          <w:shd w:val="clear" w:color="auto" w:fill="FFFFFF"/>
        </w:rPr>
        <w:t>公众支付意愿</w:t>
      </w:r>
      <w:bookmarkEnd w:id="33"/>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7.1.1</w:t>
      </w:r>
      <w:r>
        <w:rPr>
          <w:rFonts w:cs="Times New Roman"/>
          <w:color w:val="auto"/>
          <w:szCs w:val="28"/>
          <w:highlight w:val="none"/>
          <w:shd w:val="clear" w:color="auto" w:fill="FFFFFF"/>
        </w:rPr>
        <w:t xml:space="preserve">支付意愿调查 </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根据统计阳山县液化石油气气化率</w:t>
      </w:r>
      <w:r>
        <w:rPr>
          <w:rFonts w:hint="eastAsia" w:cs="Times New Roman"/>
          <w:color w:val="auto"/>
          <w:szCs w:val="28"/>
          <w:highlight w:val="none"/>
          <w:shd w:val="clear" w:color="auto" w:fill="FFFFFF"/>
          <w:lang w:eastAsia="zh-CN"/>
        </w:rPr>
        <w:t>城</w:t>
      </w:r>
      <w:r>
        <w:rPr>
          <w:rFonts w:hint="eastAsia" w:cs="Times New Roman"/>
          <w:color w:val="auto"/>
          <w:szCs w:val="28"/>
          <w:highlight w:val="none"/>
          <w:shd w:val="clear" w:color="auto" w:fill="FFFFFF"/>
        </w:rPr>
        <w:t>区已达到</w:t>
      </w:r>
      <w:r>
        <w:rPr>
          <w:rFonts w:cs="Times New Roman"/>
          <w:color w:val="auto"/>
          <w:szCs w:val="28"/>
          <w:highlight w:val="none"/>
          <w:shd w:val="clear" w:color="auto" w:fill="FFFFFF"/>
        </w:rPr>
        <w:t>50%</w:t>
      </w:r>
      <w:r>
        <w:rPr>
          <w:rFonts w:hint="eastAsia" w:cs="Times New Roman"/>
          <w:color w:val="auto"/>
          <w:szCs w:val="28"/>
          <w:highlight w:val="none"/>
          <w:shd w:val="clear" w:color="auto" w:fill="FFFFFF"/>
        </w:rPr>
        <w:t>以上，而管道天然气相比液化石油气具有以下优点：</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w:t>
      </w:r>
      <w:r>
        <w:rPr>
          <w:rFonts w:hint="eastAsia" w:cs="Times New Roman"/>
          <w:color w:val="auto"/>
          <w:szCs w:val="28"/>
          <w:highlight w:val="none"/>
          <w:shd w:val="clear" w:color="auto" w:fill="FFFFFF"/>
          <w:lang w:val="en-US" w:eastAsia="zh-CN"/>
        </w:rPr>
        <w:t xml:space="preserve"> </w:t>
      </w:r>
      <w:r>
        <w:rPr>
          <w:rFonts w:hint="eastAsia" w:cs="Times New Roman"/>
          <w:color w:val="auto"/>
          <w:szCs w:val="28"/>
          <w:highlight w:val="none"/>
          <w:shd w:val="clear" w:color="auto" w:fill="FFFFFF"/>
        </w:rPr>
        <w:t>（1）</w:t>
      </w:r>
      <w:r>
        <w:rPr>
          <w:rFonts w:cs="Times New Roman"/>
          <w:color w:val="auto"/>
          <w:szCs w:val="28"/>
          <w:highlight w:val="none"/>
          <w:shd w:val="clear" w:color="auto" w:fill="FFFFFF"/>
        </w:rPr>
        <w:t>安全，由于天然气的气体比空气轻，非常容易挥发，不容易爆炸，并且对于人类安全来说，它具备极大地优点，那就是天然气中所含的甲烷、乙烷、丙烷等本身是无毒性的。管道气与瓶装气相比较，其安全性远远高于瓶装气。原因在于管道气所采用的是集中储存、集中供气的管理方式，避免了瓶装气由于家庭发散储存危险</w:t>
      </w:r>
      <w:r>
        <w:rPr>
          <w:rFonts w:hint="eastAsia" w:cs="Times New Roman"/>
          <w:color w:val="auto"/>
          <w:szCs w:val="28"/>
          <w:highlight w:val="none"/>
          <w:shd w:val="clear" w:color="auto" w:fill="FFFFFF"/>
        </w:rPr>
        <w:t>。</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lang w:val="en-US" w:eastAsia="zh-CN"/>
        </w:rPr>
        <w:t xml:space="preserve">   </w:t>
      </w:r>
      <w:r>
        <w:rPr>
          <w:rFonts w:hint="eastAsia" w:cs="Times New Roman"/>
          <w:color w:val="auto"/>
          <w:szCs w:val="28"/>
          <w:highlight w:val="none"/>
          <w:shd w:val="clear" w:color="auto" w:fill="FFFFFF"/>
        </w:rPr>
        <w:t>（2）</w:t>
      </w:r>
      <w:r>
        <w:rPr>
          <w:rFonts w:cs="Times New Roman"/>
          <w:color w:val="auto"/>
          <w:szCs w:val="28"/>
          <w:highlight w:val="none"/>
          <w:shd w:val="clear" w:color="auto" w:fill="FFFFFF"/>
        </w:rPr>
        <w:t>经济，使用管道天然气在目前与其他燃料市场价格比较：在同等使用量（热值）的条件下比较使用瓶装液化石油气每月节约费用至少为25%—35%左右，不仅会省去购买钢瓶和钢瓶定期检验费用支出，更会省去日常生活中搬运、更换液化气所带来的费用和烦恼。使用天然气的费用比用电的费用节约35%以上</w:t>
      </w:r>
      <w:r>
        <w:rPr>
          <w:rFonts w:hint="eastAsia" w:cs="Times New Roman"/>
          <w:color w:val="auto"/>
          <w:szCs w:val="28"/>
          <w:highlight w:val="none"/>
          <w:shd w:val="clear" w:color="auto" w:fill="FFFFFF"/>
        </w:rPr>
        <w:t>。</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lang w:val="en-US" w:eastAsia="zh-CN"/>
        </w:rPr>
        <w:t xml:space="preserve">  </w:t>
      </w:r>
      <w:r>
        <w:rPr>
          <w:rFonts w:hint="eastAsia" w:cs="Times New Roman"/>
          <w:color w:val="auto"/>
          <w:szCs w:val="28"/>
          <w:highlight w:val="none"/>
          <w:shd w:val="clear" w:color="auto" w:fill="FFFFFF"/>
        </w:rPr>
        <w:t>（3）</w:t>
      </w:r>
      <w:r>
        <w:rPr>
          <w:rFonts w:cs="Times New Roman"/>
          <w:color w:val="auto"/>
          <w:szCs w:val="28"/>
          <w:highlight w:val="none"/>
          <w:shd w:val="clear" w:color="auto" w:fill="FFFFFF"/>
        </w:rPr>
        <w:t>环保</w:t>
      </w:r>
      <w:r>
        <w:rPr>
          <w:rFonts w:hint="eastAsia" w:cs="Times New Roman"/>
          <w:color w:val="auto"/>
          <w:szCs w:val="28"/>
          <w:highlight w:val="none"/>
          <w:shd w:val="clear" w:color="auto" w:fill="FFFFFF"/>
        </w:rPr>
        <w:t>，</w:t>
      </w:r>
      <w:r>
        <w:rPr>
          <w:rFonts w:cs="Times New Roman"/>
          <w:color w:val="auto"/>
          <w:szCs w:val="28"/>
          <w:highlight w:val="none"/>
          <w:shd w:val="clear" w:color="auto" w:fill="FFFFFF"/>
        </w:rPr>
        <w:t>天然气的98%成分是甲烷，在燃烧时天然气只产生少量二氧化碳与水蒸气</w:t>
      </w:r>
      <w:r>
        <w:rPr>
          <w:rFonts w:hint="eastAsia" w:cs="Times New Roman"/>
          <w:color w:val="auto"/>
          <w:szCs w:val="28"/>
          <w:highlight w:val="none"/>
          <w:shd w:val="clear" w:color="auto" w:fill="FFFFFF"/>
        </w:rPr>
        <w:t>，</w:t>
      </w:r>
      <w:r>
        <w:rPr>
          <w:rFonts w:cs="Times New Roman"/>
          <w:color w:val="auto"/>
          <w:szCs w:val="28"/>
          <w:highlight w:val="none"/>
          <w:shd w:val="clear" w:color="auto" w:fill="FFFFFF"/>
        </w:rPr>
        <w:t>无残液、无污染、无硫化物产生、推广和普及天然气能改善城市环境，美化我们的家园。</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lang w:val="en-US" w:eastAsia="zh-CN"/>
        </w:rPr>
        <w:t xml:space="preserve">  </w:t>
      </w:r>
      <w:r>
        <w:rPr>
          <w:rFonts w:hint="eastAsia" w:cs="Times New Roman"/>
          <w:color w:val="auto"/>
          <w:szCs w:val="28"/>
          <w:highlight w:val="none"/>
          <w:shd w:val="clear" w:color="auto" w:fill="FFFFFF"/>
        </w:rPr>
        <w:t>（4）</w:t>
      </w:r>
      <w:r>
        <w:rPr>
          <w:rFonts w:cs="Times New Roman"/>
          <w:color w:val="auto"/>
          <w:szCs w:val="28"/>
          <w:highlight w:val="none"/>
          <w:shd w:val="clear" w:color="auto" w:fill="FFFFFF"/>
        </w:rPr>
        <w:t>方便，天然气通过天然气管道直接进入城市的千家万户，管道输送源源不绝，没有断气和更换钢瓶的烦恼，亦不需要在现场储存或添加</w:t>
      </w:r>
      <w:r>
        <w:rPr>
          <w:rFonts w:hint="eastAsia" w:cs="Times New Roman"/>
          <w:color w:val="auto"/>
          <w:szCs w:val="28"/>
          <w:highlight w:val="none"/>
          <w:shd w:val="clear" w:color="auto" w:fill="FFFFFF"/>
        </w:rPr>
        <w:t>。</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所以阳山县民众相比</w:t>
      </w:r>
      <w:r>
        <w:rPr>
          <w:rFonts w:hint="eastAsia" w:cs="Times New Roman"/>
          <w:color w:val="auto"/>
          <w:szCs w:val="28"/>
          <w:highlight w:val="none"/>
          <w:shd w:val="clear" w:color="auto" w:fill="FFFFFF"/>
          <w:lang w:eastAsia="zh-CN"/>
        </w:rPr>
        <w:t>瓶装</w:t>
      </w:r>
      <w:r>
        <w:rPr>
          <w:rFonts w:hint="eastAsia" w:cs="Times New Roman"/>
          <w:color w:val="auto"/>
          <w:szCs w:val="28"/>
          <w:highlight w:val="none"/>
          <w:shd w:val="clear" w:color="auto" w:fill="FFFFFF"/>
        </w:rPr>
        <w:t>液化石油气更容易接受管道天然气。</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在新开发的住宅小区，管道天然气更是一种提升住宅品质的标准配置，如阳山碧桂园等都积极安装管道燃气设施，目前阳山县规划已建和在建的住宅小区近2万户，均有报装管道燃气的意向。</w:t>
      </w:r>
    </w:p>
    <w:p>
      <w:pPr>
        <w:spacing w:line="480" w:lineRule="auto"/>
        <w:jc w:val="center"/>
        <w:rPr>
          <w:rFonts w:cs="Times New Roman"/>
          <w:color w:val="auto"/>
          <w:sz w:val="24"/>
          <w:highlight w:val="none"/>
          <w:shd w:val="clear" w:color="auto" w:fill="FFFFFF"/>
        </w:rPr>
      </w:pPr>
      <w:r>
        <w:rPr>
          <w:rFonts w:hint="eastAsia" w:cs="Times New Roman"/>
          <w:color w:val="auto"/>
          <w:sz w:val="24"/>
          <w:highlight w:val="none"/>
          <w:shd w:val="clear" w:color="auto" w:fill="FFFFFF"/>
        </w:rPr>
        <w:t>阳山县城规划在建小区表</w:t>
      </w:r>
    </w:p>
    <w:tbl>
      <w:tblPr>
        <w:tblStyle w:val="26"/>
        <w:tblW w:w="5420" w:type="dxa"/>
        <w:tblInd w:w="1693" w:type="dxa"/>
        <w:tblLayout w:type="fixed"/>
        <w:tblCellMar>
          <w:top w:w="0" w:type="dxa"/>
          <w:left w:w="108" w:type="dxa"/>
          <w:bottom w:w="0" w:type="dxa"/>
          <w:right w:w="108" w:type="dxa"/>
        </w:tblCellMar>
      </w:tblPr>
      <w:tblGrid>
        <w:gridCol w:w="1080"/>
        <w:gridCol w:w="2380"/>
        <w:gridCol w:w="1960"/>
      </w:tblGrid>
      <w:tr>
        <w:tblPrEx>
          <w:tblLayout w:type="fixed"/>
          <w:tblCellMar>
            <w:top w:w="0" w:type="dxa"/>
            <w:left w:w="108" w:type="dxa"/>
            <w:bottom w:w="0" w:type="dxa"/>
            <w:right w:w="108" w:type="dxa"/>
          </w:tblCellMar>
        </w:tblPrEx>
        <w:trPr>
          <w:trHeight w:val="526"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序号</w:t>
            </w:r>
          </w:p>
        </w:tc>
        <w:tc>
          <w:tcPr>
            <w:tcW w:w="2380" w:type="dxa"/>
            <w:tcBorders>
              <w:top w:val="single" w:color="auto" w:sz="4" w:space="0"/>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小区名称</w:t>
            </w:r>
          </w:p>
        </w:tc>
        <w:tc>
          <w:tcPr>
            <w:tcW w:w="1960" w:type="dxa"/>
            <w:tcBorders>
              <w:top w:val="single" w:color="auto" w:sz="4" w:space="0"/>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总户数</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阳山碧桂园</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9500</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2</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阳山海逸华庭</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1000</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3</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阳山县俊豪雅苑</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500</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4</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阳山山水城</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900</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5</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阳山县君悦华庭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260</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6</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三恒时代花园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948</w:t>
            </w:r>
          </w:p>
        </w:tc>
      </w:tr>
      <w:tr>
        <w:tblPrEx>
          <w:tblLayout w:type="fixed"/>
          <w:tblCellMar>
            <w:top w:w="0" w:type="dxa"/>
            <w:left w:w="108" w:type="dxa"/>
            <w:bottom w:w="0" w:type="dxa"/>
            <w:right w:w="108" w:type="dxa"/>
          </w:tblCellMar>
        </w:tblPrEx>
        <w:trPr>
          <w:trHeight w:val="476"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7</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尚德名居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165</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8</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宜居房地产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304</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9</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贤景湾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390</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10</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颐珑湾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1880</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11</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盛景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143</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12</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邦正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280</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13</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御丰豪庭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400</w:t>
            </w:r>
          </w:p>
        </w:tc>
      </w:tr>
      <w:tr>
        <w:tblPrEx>
          <w:tblLayout w:type="fixed"/>
          <w:tblCellMar>
            <w:top w:w="0" w:type="dxa"/>
            <w:left w:w="108" w:type="dxa"/>
            <w:bottom w:w="0" w:type="dxa"/>
            <w:right w:w="108" w:type="dxa"/>
          </w:tblCellMar>
        </w:tblPrEx>
        <w:trPr>
          <w:trHeight w:val="427"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14</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富凯华城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742</w:t>
            </w:r>
          </w:p>
        </w:tc>
      </w:tr>
      <w:tr>
        <w:tblPrEx>
          <w:tblLayout w:type="fixed"/>
          <w:tblCellMar>
            <w:top w:w="0" w:type="dxa"/>
            <w:left w:w="108" w:type="dxa"/>
            <w:bottom w:w="0" w:type="dxa"/>
            <w:right w:w="108" w:type="dxa"/>
          </w:tblCellMar>
        </w:tblPrEx>
        <w:trPr>
          <w:trHeight w:val="507"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15</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致盛华府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360</w:t>
            </w:r>
          </w:p>
        </w:tc>
      </w:tr>
      <w:tr>
        <w:tblPrEx>
          <w:tblLayout w:type="fixed"/>
          <w:tblCellMar>
            <w:top w:w="0" w:type="dxa"/>
            <w:left w:w="108" w:type="dxa"/>
            <w:bottom w:w="0" w:type="dxa"/>
            <w:right w:w="108" w:type="dxa"/>
          </w:tblCellMar>
        </w:tblPrEx>
        <w:trPr>
          <w:trHeight w:val="44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16</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阳山阳鸣豪庭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292</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17</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阳山御景新城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650</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18</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阳山县聚龙苑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209</w:t>
            </w: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19</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光明大厦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92</w:t>
            </w:r>
          </w:p>
        </w:tc>
      </w:tr>
      <w:tr>
        <w:tblPrEx>
          <w:tblLayout w:type="fixed"/>
          <w:tblCellMar>
            <w:top w:w="0" w:type="dxa"/>
            <w:left w:w="108" w:type="dxa"/>
            <w:bottom w:w="0" w:type="dxa"/>
            <w:right w:w="108" w:type="dxa"/>
          </w:tblCellMar>
        </w:tblPrEx>
        <w:trPr>
          <w:trHeight w:val="496"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20</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富丽苑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150</w:t>
            </w:r>
          </w:p>
        </w:tc>
      </w:tr>
      <w:tr>
        <w:tblPrEx>
          <w:tblLayout w:type="fixed"/>
          <w:tblCellMar>
            <w:top w:w="0" w:type="dxa"/>
            <w:left w:w="108" w:type="dxa"/>
            <w:bottom w:w="0" w:type="dxa"/>
            <w:right w:w="108" w:type="dxa"/>
          </w:tblCellMar>
        </w:tblPrEx>
        <w:trPr>
          <w:trHeight w:val="434"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w:t>
            </w:r>
          </w:p>
        </w:tc>
        <w:tc>
          <w:tcPr>
            <w:tcW w:w="238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 xml:space="preserve">合计 </w:t>
            </w:r>
          </w:p>
        </w:tc>
        <w:tc>
          <w:tcPr>
            <w:tcW w:w="1960" w:type="dxa"/>
            <w:tcBorders>
              <w:top w:val="nil"/>
              <w:left w:val="nil"/>
              <w:bottom w:val="single" w:color="auto" w:sz="4" w:space="0"/>
              <w:right w:val="single" w:color="auto" w:sz="4" w:space="0"/>
            </w:tcBorders>
            <w:shd w:val="clear" w:color="auto" w:fill="auto"/>
            <w:vAlign w:val="center"/>
          </w:tcPr>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19165</w:t>
            </w:r>
          </w:p>
        </w:tc>
      </w:tr>
    </w:tbl>
    <w:p>
      <w:pPr>
        <w:autoSpaceDE w:val="0"/>
        <w:autoSpaceDN w:val="0"/>
        <w:adjustRightInd w:val="0"/>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根据目前各种燃料与天然气的比价关系，详见下表，天然气除与煤炭之外的能源都有较大价格差，这有利于民众提高对天然气的支付意愿。</w:t>
      </w:r>
    </w:p>
    <w:p>
      <w:pPr>
        <w:autoSpaceDE w:val="0"/>
        <w:autoSpaceDN w:val="0"/>
        <w:adjustRightInd w:val="0"/>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工业和公建用天然气的价格虽比民用用户价格高，但依靠国家能源政策的正确引导和支持，以及环保部门的相关要求，同时结合政府部门的有关强制措施，天然气作为一种洁净能源依然具有一定的竞争力。 </w:t>
      </w:r>
    </w:p>
    <w:p>
      <w:pPr>
        <w:spacing w:line="480" w:lineRule="auto"/>
        <w:jc w:val="center"/>
        <w:rPr>
          <w:rFonts w:cs="Times New Roman"/>
          <w:color w:val="auto"/>
          <w:sz w:val="21"/>
          <w:szCs w:val="21"/>
          <w:highlight w:val="none"/>
          <w:shd w:val="clear" w:color="auto" w:fill="FFFFFF"/>
        </w:rPr>
      </w:pPr>
      <w:r>
        <w:rPr>
          <w:rFonts w:hint="eastAsia" w:cs="Times New Roman"/>
          <w:color w:val="auto"/>
          <w:sz w:val="21"/>
          <w:szCs w:val="21"/>
          <w:highlight w:val="none"/>
          <w:shd w:val="clear" w:color="auto" w:fill="FFFFFF"/>
        </w:rPr>
        <w:t>燃料与天然气的比价关系</w:t>
      </w:r>
    </w:p>
    <w:tbl>
      <w:tblPr>
        <w:tblStyle w:val="26"/>
        <w:tblW w:w="9513" w:type="dxa"/>
        <w:tblInd w:w="93" w:type="dxa"/>
        <w:tblLayout w:type="fixed"/>
        <w:tblCellMar>
          <w:top w:w="0" w:type="dxa"/>
          <w:left w:w="108" w:type="dxa"/>
          <w:bottom w:w="0" w:type="dxa"/>
          <w:right w:w="108" w:type="dxa"/>
        </w:tblCellMar>
      </w:tblPr>
      <w:tblGrid>
        <w:gridCol w:w="866"/>
        <w:gridCol w:w="992"/>
        <w:gridCol w:w="1134"/>
        <w:gridCol w:w="992"/>
        <w:gridCol w:w="851"/>
        <w:gridCol w:w="1134"/>
        <w:gridCol w:w="850"/>
        <w:gridCol w:w="993"/>
        <w:gridCol w:w="850"/>
        <w:gridCol w:w="851"/>
      </w:tblGrid>
      <w:tr>
        <w:tblPrEx>
          <w:tblLayout w:type="fixed"/>
          <w:tblCellMar>
            <w:top w:w="0" w:type="dxa"/>
            <w:left w:w="108" w:type="dxa"/>
            <w:bottom w:w="0" w:type="dxa"/>
            <w:right w:w="108" w:type="dxa"/>
          </w:tblCellMar>
        </w:tblPrEx>
        <w:trPr>
          <w:trHeight w:val="270" w:hRule="atLeast"/>
        </w:trPr>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气源</w:t>
            </w: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市场平均价</w:t>
            </w:r>
          </w:p>
        </w:tc>
        <w:tc>
          <w:tcPr>
            <w:tcW w:w="184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热值</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单位热值价</w:t>
            </w: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效率因素</w:t>
            </w:r>
          </w:p>
        </w:tc>
        <w:tc>
          <w:tcPr>
            <w:tcW w:w="170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单位热值价</w:t>
            </w:r>
          </w:p>
        </w:tc>
      </w:tr>
      <w:tr>
        <w:tblPrEx>
          <w:tblLayout w:type="fixed"/>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煤炭</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850</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元/吨</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5500</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千卡/公斤</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1.55</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40%</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3.88</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r>
      <w:tr>
        <w:tblPrEx>
          <w:tblLayout w:type="fixed"/>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重油</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5400</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元/吨</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10000</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千卡/公斤</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5.4</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50%</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10.8</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r>
      <w:tr>
        <w:tblPrEx>
          <w:tblLayout w:type="fixed"/>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柴油</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9037</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元/吨</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10990</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千卡/公斤</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8.22</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60%</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13.7</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r>
      <w:tr>
        <w:tblPrEx>
          <w:tblLayout w:type="fixed"/>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汽油</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9547</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元/吨</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10480</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千卡/公斤</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9.11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60%</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15.18</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r>
      <w:tr>
        <w:tblPrEx>
          <w:tblLayout w:type="fixed"/>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液化气</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7380</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元/吨</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11008</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千卡/公斤</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6.7</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70%</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9.57</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r>
      <w:tr>
        <w:tblPrEx>
          <w:tblLayout w:type="fixed"/>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天然气</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4.5</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元/Nm</w:t>
            </w:r>
            <w:r>
              <w:rPr>
                <w:rFonts w:hint="eastAsia" w:ascii="宋体" w:hAnsi="宋体" w:cs="宋体"/>
                <w:color w:val="auto"/>
                <w:kern w:val="0"/>
                <w:sz w:val="21"/>
                <w:szCs w:val="21"/>
                <w:highlight w:val="none"/>
                <w:vertAlign w:val="superscript"/>
              </w:rPr>
              <w:t>3</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8600</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千卡/m</w:t>
            </w:r>
            <w:r>
              <w:rPr>
                <w:rFonts w:hint="eastAsia" w:ascii="宋体" w:hAnsi="宋体" w:cs="宋体"/>
                <w:color w:val="auto"/>
                <w:kern w:val="0"/>
                <w:sz w:val="21"/>
                <w:szCs w:val="21"/>
                <w:highlight w:val="none"/>
                <w:vertAlign w:val="superscript"/>
              </w:rPr>
              <w:t>3</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5.23</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70%</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7.48</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元/万千卡</w:t>
            </w:r>
          </w:p>
        </w:tc>
      </w:tr>
    </w:tbl>
    <w:p>
      <w:pPr>
        <w:spacing w:line="480" w:lineRule="auto"/>
        <w:jc w:val="left"/>
        <w:rPr>
          <w:rFonts w:cs="Times New Roman"/>
          <w:color w:val="auto"/>
          <w:szCs w:val="28"/>
          <w:highlight w:val="none"/>
          <w:shd w:val="clear" w:color="auto" w:fill="FFFFFF"/>
        </w:rPr>
      </w:pP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7.1.2</w:t>
      </w:r>
      <w:r>
        <w:rPr>
          <w:rFonts w:cs="Times New Roman"/>
          <w:color w:val="auto"/>
          <w:szCs w:val="28"/>
          <w:highlight w:val="none"/>
          <w:shd w:val="clear" w:color="auto" w:fill="FFFFFF"/>
        </w:rPr>
        <w:t>支付意愿结论</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根据以上调查分析，阳山民众对管道天然气应有较强</w:t>
      </w:r>
      <w:r>
        <w:rPr>
          <w:rFonts w:cs="Times New Roman"/>
          <w:color w:val="auto"/>
          <w:szCs w:val="28"/>
          <w:highlight w:val="none"/>
          <w:shd w:val="clear" w:color="auto" w:fill="FFFFFF"/>
        </w:rPr>
        <w:t>支付意愿</w:t>
      </w:r>
      <w:r>
        <w:rPr>
          <w:rFonts w:hint="eastAsia" w:cs="Times New Roman"/>
          <w:color w:val="auto"/>
          <w:szCs w:val="28"/>
          <w:highlight w:val="none"/>
          <w:shd w:val="clear" w:color="auto" w:fill="FFFFFF"/>
        </w:rPr>
        <w:t>。</w:t>
      </w:r>
    </w:p>
    <w:p>
      <w:pPr>
        <w:pStyle w:val="3"/>
        <w:rPr>
          <w:color w:val="auto"/>
          <w:highlight w:val="none"/>
          <w:shd w:val="clear" w:color="auto" w:fill="FFFFFF"/>
        </w:rPr>
      </w:pPr>
      <w:bookmarkStart w:id="34" w:name="_Toc29240"/>
      <w:r>
        <w:rPr>
          <w:rFonts w:hint="eastAsia"/>
          <w:color w:val="auto"/>
          <w:highlight w:val="none"/>
          <w:shd w:val="clear" w:color="auto" w:fill="FFFFFF"/>
        </w:rPr>
        <w:t>7.2</w:t>
      </w:r>
      <w:r>
        <w:rPr>
          <w:color w:val="auto"/>
          <w:highlight w:val="none"/>
          <w:shd w:val="clear" w:color="auto" w:fill="FFFFFF"/>
        </w:rPr>
        <w:t>公众支付能力评估</w:t>
      </w:r>
      <w:bookmarkEnd w:id="34"/>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7.2.1</w:t>
      </w:r>
      <w:r>
        <w:rPr>
          <w:rFonts w:cs="Times New Roman"/>
          <w:color w:val="auto"/>
          <w:szCs w:val="28"/>
          <w:highlight w:val="none"/>
          <w:shd w:val="clear" w:color="auto" w:fill="FFFFFF"/>
        </w:rPr>
        <w:t>以人均可支配收入来参考</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 xml:space="preserve">    根据《阳山统计年鉴》（2014年），全体居民</w:t>
      </w:r>
      <w:r>
        <w:rPr>
          <w:rFonts w:cs="Times New Roman"/>
          <w:color w:val="auto"/>
          <w:szCs w:val="28"/>
          <w:highlight w:val="none"/>
          <w:shd w:val="clear" w:color="auto" w:fill="FFFFFF"/>
        </w:rPr>
        <w:t>人均可支配收入为</w:t>
      </w:r>
      <w:r>
        <w:rPr>
          <w:rFonts w:hint="eastAsia" w:cs="Times New Roman"/>
          <w:color w:val="auto"/>
          <w:szCs w:val="28"/>
          <w:highlight w:val="none"/>
          <w:shd w:val="clear" w:color="auto" w:fill="FFFFFF"/>
        </w:rPr>
        <w:t>13044.8元，城镇居民</w:t>
      </w:r>
      <w:r>
        <w:rPr>
          <w:rFonts w:cs="Times New Roman"/>
          <w:color w:val="auto"/>
          <w:szCs w:val="28"/>
          <w:highlight w:val="none"/>
          <w:shd w:val="clear" w:color="auto" w:fill="FFFFFF"/>
        </w:rPr>
        <w:t>人均可支配收入为</w:t>
      </w:r>
      <w:r>
        <w:rPr>
          <w:rFonts w:hint="eastAsia" w:cs="Times New Roman"/>
          <w:color w:val="auto"/>
          <w:szCs w:val="28"/>
          <w:highlight w:val="none"/>
          <w:shd w:val="clear" w:color="auto" w:fill="FFFFFF"/>
        </w:rPr>
        <w:t>19197.0元。目前阳山城镇居民目前年均用气量折合天然气为58</w:t>
      </w:r>
      <w:r>
        <w:rPr>
          <w:rFonts w:hint="eastAsia" w:ascii="宋体" w:hAnsi="宋体" w:cs="宋体"/>
          <w:color w:val="auto"/>
          <w:kern w:val="0"/>
          <w:sz w:val="24"/>
          <w:highlight w:val="none"/>
        </w:rPr>
        <w:t>Nm</w:t>
      </w:r>
      <w:r>
        <w:rPr>
          <w:rFonts w:hint="eastAsia" w:ascii="宋体" w:hAnsi="宋体" w:cs="宋体"/>
          <w:color w:val="auto"/>
          <w:kern w:val="0"/>
          <w:sz w:val="24"/>
          <w:highlight w:val="none"/>
          <w:vertAlign w:val="superscript"/>
        </w:rPr>
        <w:t>3</w:t>
      </w:r>
      <w:r>
        <w:rPr>
          <w:rFonts w:hint="eastAsia" w:ascii="宋体" w:hAnsi="宋体" w:cs="宋体"/>
          <w:color w:val="auto"/>
          <w:kern w:val="0"/>
          <w:sz w:val="24"/>
          <w:highlight w:val="none"/>
        </w:rPr>
        <w:t>,</w:t>
      </w:r>
      <w:r>
        <w:rPr>
          <w:rFonts w:hint="eastAsia" w:cs="Times New Roman"/>
          <w:color w:val="auto"/>
          <w:szCs w:val="28"/>
          <w:highlight w:val="none"/>
          <w:shd w:val="clear" w:color="auto" w:fill="FFFFFF"/>
        </w:rPr>
        <w:t>用气费用261元，仅占1.3%，随着阳山经济的发展，这一比重将继续下降，因此</w:t>
      </w:r>
      <w:r>
        <w:rPr>
          <w:rFonts w:cs="Times New Roman"/>
          <w:color w:val="auto"/>
          <w:szCs w:val="28"/>
          <w:highlight w:val="none"/>
          <w:shd w:val="clear" w:color="auto" w:fill="FFFFFF"/>
        </w:rPr>
        <w:t>以人均可支配收入来参考</w:t>
      </w:r>
      <w:r>
        <w:rPr>
          <w:rFonts w:hint="eastAsia" w:cs="Times New Roman"/>
          <w:color w:val="auto"/>
          <w:szCs w:val="28"/>
          <w:highlight w:val="none"/>
          <w:shd w:val="clear" w:color="auto" w:fill="FFFFFF"/>
        </w:rPr>
        <w:t>，</w:t>
      </w:r>
      <w:r>
        <w:rPr>
          <w:rFonts w:cs="Times New Roman"/>
          <w:color w:val="auto"/>
          <w:szCs w:val="28"/>
          <w:highlight w:val="none"/>
          <w:shd w:val="clear" w:color="auto" w:fill="FFFFFF"/>
        </w:rPr>
        <w:t>公众对</w:t>
      </w:r>
      <w:r>
        <w:rPr>
          <w:rFonts w:hint="eastAsia" w:cs="Times New Roman"/>
          <w:color w:val="auto"/>
          <w:szCs w:val="28"/>
          <w:highlight w:val="none"/>
          <w:shd w:val="clear" w:color="auto" w:fill="FFFFFF"/>
        </w:rPr>
        <w:t>管道</w:t>
      </w:r>
      <w:r>
        <w:rPr>
          <w:rFonts w:cs="Times New Roman"/>
          <w:color w:val="auto"/>
          <w:szCs w:val="28"/>
          <w:highlight w:val="none"/>
          <w:shd w:val="clear" w:color="auto" w:fill="FFFFFF"/>
        </w:rPr>
        <w:t>天然气消费有足够的支付能力</w:t>
      </w:r>
      <w:r>
        <w:rPr>
          <w:rFonts w:hint="eastAsia" w:cs="Times New Roman"/>
          <w:color w:val="auto"/>
          <w:szCs w:val="28"/>
          <w:highlight w:val="none"/>
          <w:shd w:val="clear" w:color="auto" w:fill="FFFFFF"/>
        </w:rPr>
        <w:t>。</w:t>
      </w:r>
    </w:p>
    <w:p>
      <w:pPr>
        <w:spacing w:line="480" w:lineRule="auto"/>
        <w:jc w:val="left"/>
        <w:rPr>
          <w:rFonts w:cs="Times New Roman"/>
          <w:color w:val="auto"/>
          <w:szCs w:val="28"/>
          <w:highlight w:val="none"/>
          <w:shd w:val="clear" w:color="auto" w:fill="FFFFFF"/>
        </w:rPr>
      </w:pPr>
      <w:r>
        <w:rPr>
          <w:rFonts w:hint="eastAsia" w:cs="Times New Roman"/>
          <w:color w:val="auto"/>
          <w:szCs w:val="28"/>
          <w:highlight w:val="none"/>
          <w:shd w:val="clear" w:color="auto" w:fill="FFFFFF"/>
        </w:rPr>
        <w:t>7.2.2</w:t>
      </w:r>
      <w:r>
        <w:rPr>
          <w:rFonts w:cs="Times New Roman"/>
          <w:color w:val="auto"/>
          <w:szCs w:val="28"/>
          <w:highlight w:val="none"/>
          <w:shd w:val="clear" w:color="auto" w:fill="FFFFFF"/>
        </w:rPr>
        <w:t>以公众支付意愿为参考</w:t>
      </w:r>
    </w:p>
    <w:p>
      <w:pPr>
        <w:spacing w:line="480" w:lineRule="auto"/>
        <w:jc w:val="left"/>
        <w:rPr>
          <w:rFonts w:eastAsia="黑体" w:cs="黑体"/>
          <w:color w:val="auto"/>
          <w:sz w:val="32"/>
          <w:szCs w:val="32"/>
          <w:highlight w:val="none"/>
        </w:rPr>
      </w:pPr>
      <w:r>
        <w:rPr>
          <w:rFonts w:hint="eastAsia" w:cs="Times New Roman"/>
          <w:color w:val="auto"/>
          <w:szCs w:val="28"/>
          <w:highlight w:val="none"/>
          <w:shd w:val="clear" w:color="auto" w:fill="FFFFFF"/>
        </w:rPr>
        <w:t xml:space="preserve">   根据</w:t>
      </w:r>
      <w:r>
        <w:rPr>
          <w:rFonts w:cs="Times New Roman"/>
          <w:color w:val="auto"/>
          <w:szCs w:val="28"/>
          <w:highlight w:val="none"/>
          <w:shd w:val="clear" w:color="auto" w:fill="FFFFFF"/>
        </w:rPr>
        <w:t>公众支付意愿</w:t>
      </w:r>
      <w:r>
        <w:rPr>
          <w:rFonts w:hint="eastAsia" w:cs="Times New Roman"/>
          <w:color w:val="auto"/>
          <w:szCs w:val="28"/>
          <w:highlight w:val="none"/>
          <w:shd w:val="clear" w:color="auto" w:fill="FFFFFF"/>
        </w:rPr>
        <w:t>调查分析，阳山民众对管道天然气</w:t>
      </w:r>
      <w:r>
        <w:rPr>
          <w:rFonts w:cs="Times New Roman"/>
          <w:color w:val="auto"/>
          <w:szCs w:val="28"/>
          <w:highlight w:val="none"/>
          <w:shd w:val="clear" w:color="auto" w:fill="FFFFFF"/>
        </w:rPr>
        <w:t>对</w:t>
      </w:r>
      <w:r>
        <w:rPr>
          <w:rFonts w:hint="eastAsia" w:cs="Times New Roman"/>
          <w:color w:val="auto"/>
          <w:szCs w:val="28"/>
          <w:highlight w:val="none"/>
          <w:shd w:val="clear" w:color="auto" w:fill="FFFFFF"/>
        </w:rPr>
        <w:t>管道</w:t>
      </w:r>
      <w:r>
        <w:rPr>
          <w:rFonts w:cs="Times New Roman"/>
          <w:color w:val="auto"/>
          <w:szCs w:val="28"/>
          <w:highlight w:val="none"/>
          <w:shd w:val="clear" w:color="auto" w:fill="FFFFFF"/>
        </w:rPr>
        <w:t>天然气消费</w:t>
      </w:r>
      <w:r>
        <w:rPr>
          <w:rFonts w:hint="eastAsia" w:cs="Times New Roman"/>
          <w:color w:val="auto"/>
          <w:szCs w:val="28"/>
          <w:highlight w:val="none"/>
          <w:shd w:val="clear" w:color="auto" w:fill="FFFFFF"/>
          <w:lang w:eastAsia="zh-CN"/>
        </w:rPr>
        <w:t>应</w:t>
      </w:r>
      <w:r>
        <w:rPr>
          <w:rFonts w:cs="Times New Roman"/>
          <w:color w:val="auto"/>
          <w:szCs w:val="28"/>
          <w:highlight w:val="none"/>
          <w:shd w:val="clear" w:color="auto" w:fill="FFFFFF"/>
        </w:rPr>
        <w:t>有足够的支付能力</w:t>
      </w:r>
      <w:r>
        <w:rPr>
          <w:rFonts w:hint="eastAsia" w:cs="Times New Roman"/>
          <w:color w:val="auto"/>
          <w:szCs w:val="28"/>
          <w:highlight w:val="none"/>
          <w:shd w:val="clear" w:color="auto" w:fill="FFFFFF"/>
        </w:rPr>
        <w:t>。</w:t>
      </w:r>
    </w:p>
    <w:p>
      <w:pPr>
        <w:spacing w:line="480" w:lineRule="auto"/>
        <w:jc w:val="center"/>
        <w:rPr>
          <w:rFonts w:eastAsia="黑体" w:cs="黑体"/>
          <w:color w:val="auto"/>
          <w:sz w:val="32"/>
          <w:szCs w:val="32"/>
          <w:highlight w:val="none"/>
        </w:rPr>
      </w:pPr>
    </w:p>
    <w:p>
      <w:pPr>
        <w:spacing w:line="480" w:lineRule="auto"/>
        <w:jc w:val="center"/>
        <w:rPr>
          <w:rFonts w:eastAsia="黑体" w:cs="黑体"/>
          <w:color w:val="auto"/>
          <w:sz w:val="32"/>
          <w:szCs w:val="32"/>
          <w:highlight w:val="none"/>
        </w:rPr>
      </w:pPr>
    </w:p>
    <w:p>
      <w:pPr>
        <w:spacing w:line="480" w:lineRule="auto"/>
        <w:jc w:val="center"/>
        <w:rPr>
          <w:rFonts w:eastAsia="黑体" w:cs="黑体"/>
          <w:color w:val="auto"/>
          <w:sz w:val="32"/>
          <w:szCs w:val="32"/>
          <w:highlight w:val="none"/>
        </w:rPr>
      </w:pPr>
    </w:p>
    <w:p>
      <w:pPr>
        <w:pStyle w:val="20"/>
        <w:widowControl/>
        <w:shd w:val="clear" w:color="auto" w:fill="FFFFFF"/>
        <w:spacing w:beforeAutospacing="0" w:afterAutospacing="0" w:line="360" w:lineRule="atLeast"/>
        <w:ind w:firstLine="420"/>
        <w:jc w:val="center"/>
        <w:rPr>
          <w:color w:val="auto"/>
          <w:sz w:val="21"/>
          <w:szCs w:val="21"/>
          <w:highlight w:val="none"/>
        </w:rPr>
      </w:pPr>
    </w:p>
    <w:p>
      <w:pPr>
        <w:rPr>
          <w:color w:val="auto"/>
          <w:highlight w:val="none"/>
        </w:rPr>
      </w:pPr>
    </w:p>
    <w:sectPr>
      <w:headerReference r:id="rId3" w:type="default"/>
      <w:footerReference r:id="rId4" w:type="default"/>
      <w:pgSz w:w="11906" w:h="16838"/>
      <w:pgMar w:top="1440" w:right="1416"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TF46827ACtCID-WinCharSetFFFF-H">
    <w:altName w:val="Times New Roman"/>
    <w:panose1 w:val="00000000000000000000"/>
    <w:charset w:val="01"/>
    <w:family w:val="roman"/>
    <w:pitch w:val="default"/>
    <w:sig w:usb0="00000000" w:usb1="00000000" w:usb2="00000000" w:usb3="00000000" w:csb0="000001FF" w:csb1="00000000"/>
  </w:font>
  <w:font w:name="Calibri Light">
    <w:altName w:val="Calibri"/>
    <w:panose1 w:val="020F0302020204030204"/>
    <w:charset w:val="00"/>
    <w:family w:val="swiss"/>
    <w:pitch w:val="default"/>
    <w:sig w:usb0="00000000" w:usb1="00000000" w:usb2="00000000" w:usb3="00000000" w:csb0="0000019F" w:csb1="00000000"/>
  </w:font>
  <w:font w:name="TimesNewRomanPSMT">
    <w:altName w:val="Times New Roman"/>
    <w:panose1 w:val="00000000000000000000"/>
    <w:charset w:val="86"/>
    <w:family w:val="auto"/>
    <w:pitch w:val="default"/>
    <w:sig w:usb0="00000000" w:usb1="00000000" w:usb2="00000010" w:usb3="00000000" w:csb0="00040000" w:csb1="00000000"/>
  </w:font>
  <w:font w:name="华文中宋">
    <w:altName w:val="宋体"/>
    <w:panose1 w:val="00000000000000000000"/>
    <w:charset w:val="86"/>
    <w:family w:val="auto"/>
    <w:pitch w:val="default"/>
    <w:sig w:usb0="00000000" w:usb1="00000000" w:usb2="00000010" w:usb3="00000000" w:csb0="00040000" w:csb1="00000000"/>
  </w:font>
  <w:font w:name="方正兰亭超细黑简体">
    <w:altName w:val="黑体"/>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隶书">
    <w:altName w:val="微软雅黑"/>
    <w:panose1 w:val="02010509060101010101"/>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3442051"/>
    </w:sdtPr>
    <w:sdtContent>
      <w:p>
        <w:pPr>
          <w:pStyle w:val="13"/>
          <w:jc w:val="center"/>
        </w:pPr>
        <w:r>
          <w:fldChar w:fldCharType="begin"/>
        </w:r>
        <w:r>
          <w:instrText xml:space="preserve"> PAGE   \* MERGEFORMAT </w:instrText>
        </w:r>
        <w:r>
          <w:fldChar w:fldCharType="separate"/>
        </w:r>
        <w:r>
          <w:rPr>
            <w:lang w:val="zh-CN"/>
          </w:rPr>
          <w:t>33</w:t>
        </w:r>
        <w:r>
          <w:rPr>
            <w:lang w:val="zh-CN"/>
          </w:rPr>
          <w:fldChar w:fldCharType="end"/>
        </w:r>
      </w:p>
    </w:sdtContent>
  </w:sdt>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pPr>
    <w:r>
      <w:t>阳山县管道燃气特许经营评估报告</w:t>
    </w:r>
    <w:r>
      <w:rPr>
        <w:rFonts w:hint="eastAsia"/>
      </w:rPr>
      <w:t xml:space="preserve">                                       中交煤气热力研究设计院有限公司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84D5B2"/>
    <w:multiLevelType w:val="singleLevel"/>
    <w:tmpl w:val="5784D5B2"/>
    <w:lvl w:ilvl="0" w:tentative="0">
      <w:start w:val="5"/>
      <w:numFmt w:val="decimal"/>
      <w:suff w:val="nothing"/>
      <w:lvlText w:val="%1."/>
      <w:lvlJc w:val="left"/>
    </w:lvl>
  </w:abstractNum>
  <w:abstractNum w:abstractNumId="1">
    <w:nsid w:val="578F54AC"/>
    <w:multiLevelType w:val="singleLevel"/>
    <w:tmpl w:val="578F54AC"/>
    <w:lvl w:ilvl="0" w:tentative="0">
      <w:start w:val="2"/>
      <w:numFmt w:val="decimal"/>
      <w:suff w:val="space"/>
      <w:lvlText w:val="%1."/>
      <w:lvlJc w:val="left"/>
    </w:lvl>
  </w:abstractNum>
  <w:abstractNum w:abstractNumId="2">
    <w:nsid w:val="57B662F1"/>
    <w:multiLevelType w:val="singleLevel"/>
    <w:tmpl w:val="57B662F1"/>
    <w:lvl w:ilvl="0" w:tentative="0">
      <w:start w:val="10"/>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7C33"/>
    <w:rsid w:val="00004221"/>
    <w:rsid w:val="00012EBA"/>
    <w:rsid w:val="00033203"/>
    <w:rsid w:val="0004491F"/>
    <w:rsid w:val="0008229C"/>
    <w:rsid w:val="00097620"/>
    <w:rsid w:val="000A2847"/>
    <w:rsid w:val="000A3516"/>
    <w:rsid w:val="000B05B3"/>
    <w:rsid w:val="000C4811"/>
    <w:rsid w:val="000F276F"/>
    <w:rsid w:val="001219B4"/>
    <w:rsid w:val="00134301"/>
    <w:rsid w:val="00137F18"/>
    <w:rsid w:val="00143313"/>
    <w:rsid w:val="001477AC"/>
    <w:rsid w:val="00172A2E"/>
    <w:rsid w:val="00195C65"/>
    <w:rsid w:val="001A2207"/>
    <w:rsid w:val="001A3F3E"/>
    <w:rsid w:val="001E52FA"/>
    <w:rsid w:val="001E6C16"/>
    <w:rsid w:val="00201C0D"/>
    <w:rsid w:val="002408DB"/>
    <w:rsid w:val="00245A0B"/>
    <w:rsid w:val="00246F71"/>
    <w:rsid w:val="00247994"/>
    <w:rsid w:val="00256F1F"/>
    <w:rsid w:val="00260A5D"/>
    <w:rsid w:val="002A28E4"/>
    <w:rsid w:val="002B1049"/>
    <w:rsid w:val="002D5795"/>
    <w:rsid w:val="002F254D"/>
    <w:rsid w:val="00333805"/>
    <w:rsid w:val="00345B15"/>
    <w:rsid w:val="00392199"/>
    <w:rsid w:val="00392973"/>
    <w:rsid w:val="003B25E7"/>
    <w:rsid w:val="003D40BB"/>
    <w:rsid w:val="00401C58"/>
    <w:rsid w:val="00442537"/>
    <w:rsid w:val="00453C76"/>
    <w:rsid w:val="00454784"/>
    <w:rsid w:val="00457688"/>
    <w:rsid w:val="00461239"/>
    <w:rsid w:val="00476171"/>
    <w:rsid w:val="004926D0"/>
    <w:rsid w:val="00495E33"/>
    <w:rsid w:val="004B530A"/>
    <w:rsid w:val="004D215B"/>
    <w:rsid w:val="004E7C1B"/>
    <w:rsid w:val="004F3CC8"/>
    <w:rsid w:val="004F63D1"/>
    <w:rsid w:val="005013E8"/>
    <w:rsid w:val="00525A82"/>
    <w:rsid w:val="0055007C"/>
    <w:rsid w:val="0055641F"/>
    <w:rsid w:val="0057020B"/>
    <w:rsid w:val="00592B5E"/>
    <w:rsid w:val="005D1272"/>
    <w:rsid w:val="0063527B"/>
    <w:rsid w:val="00641830"/>
    <w:rsid w:val="006448C2"/>
    <w:rsid w:val="006A19C1"/>
    <w:rsid w:val="006D2623"/>
    <w:rsid w:val="006E4EF5"/>
    <w:rsid w:val="006F068B"/>
    <w:rsid w:val="006F23B9"/>
    <w:rsid w:val="007074E4"/>
    <w:rsid w:val="00711D37"/>
    <w:rsid w:val="007248AA"/>
    <w:rsid w:val="00726713"/>
    <w:rsid w:val="00757A60"/>
    <w:rsid w:val="00774CBA"/>
    <w:rsid w:val="0079372B"/>
    <w:rsid w:val="0079386E"/>
    <w:rsid w:val="008026B3"/>
    <w:rsid w:val="00814957"/>
    <w:rsid w:val="00814FCF"/>
    <w:rsid w:val="00832518"/>
    <w:rsid w:val="0087664A"/>
    <w:rsid w:val="00884F42"/>
    <w:rsid w:val="00890F0D"/>
    <w:rsid w:val="0089379E"/>
    <w:rsid w:val="008D3A5F"/>
    <w:rsid w:val="008F6377"/>
    <w:rsid w:val="00924FE8"/>
    <w:rsid w:val="009256B3"/>
    <w:rsid w:val="009278B7"/>
    <w:rsid w:val="00952774"/>
    <w:rsid w:val="00960DD6"/>
    <w:rsid w:val="0097413A"/>
    <w:rsid w:val="009A0446"/>
    <w:rsid w:val="009A3DB4"/>
    <w:rsid w:val="009B3DE7"/>
    <w:rsid w:val="009B5059"/>
    <w:rsid w:val="009D2B7F"/>
    <w:rsid w:val="00A51A96"/>
    <w:rsid w:val="00A75381"/>
    <w:rsid w:val="00B034ED"/>
    <w:rsid w:val="00B1216A"/>
    <w:rsid w:val="00B66119"/>
    <w:rsid w:val="00B7359F"/>
    <w:rsid w:val="00B84397"/>
    <w:rsid w:val="00BD6EB2"/>
    <w:rsid w:val="00C07C33"/>
    <w:rsid w:val="00C21FBE"/>
    <w:rsid w:val="00C26BD1"/>
    <w:rsid w:val="00C32768"/>
    <w:rsid w:val="00C34757"/>
    <w:rsid w:val="00C50DC0"/>
    <w:rsid w:val="00C829B9"/>
    <w:rsid w:val="00CA38CD"/>
    <w:rsid w:val="00CC09B3"/>
    <w:rsid w:val="00D14DF0"/>
    <w:rsid w:val="00D466D4"/>
    <w:rsid w:val="00D61FF8"/>
    <w:rsid w:val="00D9044B"/>
    <w:rsid w:val="00DA0EA8"/>
    <w:rsid w:val="00DC78AE"/>
    <w:rsid w:val="00E17AFA"/>
    <w:rsid w:val="00E266B3"/>
    <w:rsid w:val="00E3027B"/>
    <w:rsid w:val="00E32E64"/>
    <w:rsid w:val="00E548DE"/>
    <w:rsid w:val="00E55152"/>
    <w:rsid w:val="00E70489"/>
    <w:rsid w:val="00E70A25"/>
    <w:rsid w:val="00E81696"/>
    <w:rsid w:val="00EA3344"/>
    <w:rsid w:val="00EB763E"/>
    <w:rsid w:val="00ED3C20"/>
    <w:rsid w:val="00EF5C09"/>
    <w:rsid w:val="00EF630D"/>
    <w:rsid w:val="00EF652D"/>
    <w:rsid w:val="00EF6EBE"/>
    <w:rsid w:val="00F12DCD"/>
    <w:rsid w:val="00F20967"/>
    <w:rsid w:val="00F33442"/>
    <w:rsid w:val="00F44981"/>
    <w:rsid w:val="00F57402"/>
    <w:rsid w:val="00F66945"/>
    <w:rsid w:val="00F7067A"/>
    <w:rsid w:val="00F9158B"/>
    <w:rsid w:val="00F96DC6"/>
    <w:rsid w:val="00FB18FC"/>
    <w:rsid w:val="00FC3DA3"/>
    <w:rsid w:val="00FC6C1F"/>
    <w:rsid w:val="00FD57E2"/>
    <w:rsid w:val="00FE77E8"/>
    <w:rsid w:val="0D1C2538"/>
    <w:rsid w:val="12EE0835"/>
    <w:rsid w:val="1ED74E4E"/>
    <w:rsid w:val="20302527"/>
    <w:rsid w:val="20516C8A"/>
    <w:rsid w:val="20AC7CDC"/>
    <w:rsid w:val="24AC2FC1"/>
    <w:rsid w:val="2C2F6DFD"/>
    <w:rsid w:val="38765DC4"/>
    <w:rsid w:val="43EB5C6F"/>
    <w:rsid w:val="492873EC"/>
    <w:rsid w:val="52C8645A"/>
    <w:rsid w:val="5E8E7A57"/>
    <w:rsid w:val="5FA03493"/>
    <w:rsid w:val="5FC40FB1"/>
    <w:rsid w:val="65013A5F"/>
    <w:rsid w:val="79721D98"/>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8"/>
      <w:szCs w:val="24"/>
      <w:lang w:val="en-US" w:eastAsia="zh-CN" w:bidi="ar-SA"/>
    </w:rPr>
  </w:style>
  <w:style w:type="paragraph" w:styleId="2">
    <w:name w:val="heading 1"/>
    <w:basedOn w:val="1"/>
    <w:next w:val="1"/>
    <w:link w:val="27"/>
    <w:qFormat/>
    <w:uiPriority w:val="0"/>
    <w:pPr>
      <w:keepNext/>
      <w:keepLines/>
      <w:spacing w:line="576" w:lineRule="auto"/>
      <w:jc w:val="center"/>
      <w:outlineLvl w:val="0"/>
    </w:pPr>
    <w:rPr>
      <w:b/>
      <w:kern w:val="44"/>
      <w:sz w:val="32"/>
    </w:rPr>
  </w:style>
  <w:style w:type="paragraph" w:styleId="3">
    <w:name w:val="heading 2"/>
    <w:basedOn w:val="1"/>
    <w:next w:val="1"/>
    <w:unhideWhenUsed/>
    <w:qFormat/>
    <w:uiPriority w:val="9"/>
    <w:pPr>
      <w:keepNext/>
      <w:keepLines/>
      <w:spacing w:line="413" w:lineRule="auto"/>
      <w:jc w:val="left"/>
      <w:outlineLvl w:val="1"/>
    </w:pPr>
    <w:rPr>
      <w:rFonts w:ascii="Arial" w:hAnsi="Arial" w:eastAsia="黑体"/>
      <w:b/>
    </w:rPr>
  </w:style>
  <w:style w:type="paragraph" w:styleId="4">
    <w:name w:val="heading 3"/>
    <w:basedOn w:val="1"/>
    <w:next w:val="1"/>
    <w:unhideWhenUsed/>
    <w:qFormat/>
    <w:uiPriority w:val="9"/>
    <w:pPr>
      <w:keepNext/>
      <w:keepLines/>
      <w:spacing w:line="413" w:lineRule="auto"/>
      <w:outlineLvl w:val="2"/>
    </w:pPr>
    <w:rPr>
      <w:b/>
      <w:sz w:val="32"/>
    </w:rPr>
  </w:style>
  <w:style w:type="paragraph" w:styleId="5">
    <w:name w:val="heading 4"/>
    <w:basedOn w:val="1"/>
    <w:next w:val="1"/>
    <w:unhideWhenUsed/>
    <w:qFormat/>
    <w:uiPriority w:val="9"/>
    <w:pPr>
      <w:keepNext/>
      <w:keepLines/>
      <w:spacing w:line="324" w:lineRule="auto"/>
      <w:outlineLvl w:val="3"/>
    </w:pPr>
    <w:rPr>
      <w:b/>
      <w:bCs/>
      <w:color w:val="000000"/>
      <w:szCs w:val="28"/>
    </w:rPr>
  </w:style>
  <w:style w:type="character" w:default="1" w:styleId="21">
    <w:name w:val="Default Paragraph Font"/>
    <w:unhideWhenUsed/>
    <w:qFormat/>
    <w:uiPriority w:val="1"/>
  </w:style>
  <w:style w:type="table" w:default="1" w:styleId="26">
    <w:name w:val="Normal Table"/>
    <w:unhideWhenUsed/>
    <w:qFormat/>
    <w:uiPriority w:val="99"/>
    <w:tblPr>
      <w:tblLayout w:type="fixed"/>
      <w:tblCellMar>
        <w:top w:w="0" w:type="dxa"/>
        <w:left w:w="108" w:type="dxa"/>
        <w:bottom w:w="0" w:type="dxa"/>
        <w:right w:w="108" w:type="dxa"/>
      </w:tblCellMar>
    </w:tblPr>
  </w:style>
  <w:style w:type="paragraph" w:styleId="6">
    <w:name w:val="annotation subject"/>
    <w:basedOn w:val="7"/>
    <w:next w:val="7"/>
    <w:link w:val="34"/>
    <w:unhideWhenUsed/>
    <w:qFormat/>
    <w:uiPriority w:val="99"/>
    <w:rPr>
      <w:b/>
      <w:bCs/>
    </w:rPr>
  </w:style>
  <w:style w:type="paragraph" w:styleId="7">
    <w:name w:val="annotation text"/>
    <w:basedOn w:val="1"/>
    <w:link w:val="33"/>
    <w:unhideWhenUsed/>
    <w:qFormat/>
    <w:uiPriority w:val="99"/>
    <w:pPr>
      <w:jc w:val="left"/>
    </w:pPr>
  </w:style>
  <w:style w:type="paragraph" w:styleId="8">
    <w:name w:val="toc 7"/>
    <w:basedOn w:val="1"/>
    <w:next w:val="1"/>
    <w:unhideWhenUsed/>
    <w:qFormat/>
    <w:uiPriority w:val="39"/>
    <w:pPr>
      <w:ind w:left="2520" w:leftChars="1200"/>
    </w:pPr>
  </w:style>
  <w:style w:type="paragraph" w:styleId="9">
    <w:name w:val="toc 5"/>
    <w:basedOn w:val="1"/>
    <w:next w:val="1"/>
    <w:unhideWhenUsed/>
    <w:qFormat/>
    <w:uiPriority w:val="39"/>
    <w:pPr>
      <w:ind w:left="1680" w:leftChars="800"/>
    </w:pPr>
  </w:style>
  <w:style w:type="paragraph" w:styleId="10">
    <w:name w:val="toc 3"/>
    <w:basedOn w:val="1"/>
    <w:next w:val="1"/>
    <w:unhideWhenUsed/>
    <w:qFormat/>
    <w:uiPriority w:val="39"/>
    <w:pPr>
      <w:ind w:left="840" w:leftChars="400"/>
    </w:pPr>
  </w:style>
  <w:style w:type="paragraph" w:styleId="11">
    <w:name w:val="toc 8"/>
    <w:basedOn w:val="1"/>
    <w:next w:val="1"/>
    <w:unhideWhenUsed/>
    <w:qFormat/>
    <w:uiPriority w:val="39"/>
    <w:pPr>
      <w:ind w:left="2940" w:leftChars="1400"/>
    </w:pPr>
  </w:style>
  <w:style w:type="paragraph" w:styleId="12">
    <w:name w:val="Balloon Text"/>
    <w:basedOn w:val="1"/>
    <w:link w:val="28"/>
    <w:unhideWhenUsed/>
    <w:qFormat/>
    <w:uiPriority w:val="99"/>
    <w:rPr>
      <w:sz w:val="18"/>
      <w:szCs w:val="18"/>
    </w:rPr>
  </w:style>
  <w:style w:type="paragraph" w:styleId="13">
    <w:name w:val="footer"/>
    <w:basedOn w:val="1"/>
    <w:link w:val="30"/>
    <w:unhideWhenUsed/>
    <w:qFormat/>
    <w:uiPriority w:val="99"/>
    <w:pPr>
      <w:tabs>
        <w:tab w:val="center" w:pos="4153"/>
        <w:tab w:val="right" w:pos="8306"/>
      </w:tabs>
      <w:snapToGrid w:val="0"/>
      <w:jc w:val="left"/>
    </w:pPr>
    <w:rPr>
      <w:sz w:val="18"/>
      <w:szCs w:val="18"/>
    </w:rPr>
  </w:style>
  <w:style w:type="paragraph" w:styleId="14">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paragraph" w:styleId="16">
    <w:name w:val="toc 4"/>
    <w:basedOn w:val="1"/>
    <w:next w:val="1"/>
    <w:unhideWhenUsed/>
    <w:qFormat/>
    <w:uiPriority w:val="39"/>
    <w:pPr>
      <w:ind w:left="1260" w:leftChars="600"/>
    </w:pPr>
  </w:style>
  <w:style w:type="paragraph" w:styleId="17">
    <w:name w:val="toc 6"/>
    <w:basedOn w:val="1"/>
    <w:next w:val="1"/>
    <w:unhideWhenUsed/>
    <w:qFormat/>
    <w:uiPriority w:val="39"/>
    <w:pPr>
      <w:ind w:left="2100" w:leftChars="1000"/>
    </w:pPr>
  </w:style>
  <w:style w:type="paragraph" w:styleId="18">
    <w:name w:val="toc 2"/>
    <w:basedOn w:val="1"/>
    <w:next w:val="1"/>
    <w:unhideWhenUsed/>
    <w:qFormat/>
    <w:uiPriority w:val="39"/>
    <w:pPr>
      <w:ind w:left="420" w:leftChars="200"/>
    </w:pPr>
  </w:style>
  <w:style w:type="paragraph" w:styleId="19">
    <w:name w:val="toc 9"/>
    <w:basedOn w:val="1"/>
    <w:next w:val="1"/>
    <w:unhideWhenUsed/>
    <w:qFormat/>
    <w:uiPriority w:val="39"/>
    <w:pPr>
      <w:ind w:left="3360" w:leftChars="1600"/>
    </w:pPr>
  </w:style>
  <w:style w:type="paragraph" w:styleId="20">
    <w:name w:val="Normal (Web)"/>
    <w:basedOn w:val="1"/>
    <w:qFormat/>
    <w:uiPriority w:val="99"/>
    <w:pPr>
      <w:spacing w:beforeAutospacing="1" w:afterAutospacing="1"/>
      <w:jc w:val="left"/>
    </w:pPr>
    <w:rPr>
      <w:rFonts w:cs="Times New Roman"/>
      <w:kern w:val="0"/>
      <w:sz w:val="24"/>
    </w:rPr>
  </w:style>
  <w:style w:type="character" w:styleId="22">
    <w:name w:val="Strong"/>
    <w:basedOn w:val="21"/>
    <w:qFormat/>
    <w:uiPriority w:val="22"/>
    <w:rPr>
      <w:b/>
    </w:rPr>
  </w:style>
  <w:style w:type="character" w:styleId="23">
    <w:name w:val="page number"/>
    <w:basedOn w:val="21"/>
    <w:unhideWhenUsed/>
    <w:uiPriority w:val="99"/>
  </w:style>
  <w:style w:type="character" w:styleId="24">
    <w:name w:val="Hyperlink"/>
    <w:basedOn w:val="21"/>
    <w:unhideWhenUsed/>
    <w:qFormat/>
    <w:uiPriority w:val="99"/>
    <w:rPr>
      <w:color w:val="0000FF"/>
      <w:u w:val="single"/>
    </w:rPr>
  </w:style>
  <w:style w:type="character" w:styleId="25">
    <w:name w:val="annotation reference"/>
    <w:basedOn w:val="21"/>
    <w:unhideWhenUsed/>
    <w:qFormat/>
    <w:uiPriority w:val="99"/>
    <w:rPr>
      <w:sz w:val="21"/>
      <w:szCs w:val="21"/>
    </w:rPr>
  </w:style>
  <w:style w:type="character" w:customStyle="1" w:styleId="27">
    <w:name w:val="标题 1 Char"/>
    <w:basedOn w:val="21"/>
    <w:link w:val="2"/>
    <w:qFormat/>
    <w:uiPriority w:val="0"/>
    <w:rPr>
      <w:rFonts w:eastAsia="宋体"/>
      <w:b/>
      <w:kern w:val="44"/>
      <w:sz w:val="32"/>
      <w:szCs w:val="24"/>
    </w:rPr>
  </w:style>
  <w:style w:type="character" w:customStyle="1" w:styleId="28">
    <w:name w:val="批注框文本 Char"/>
    <w:basedOn w:val="21"/>
    <w:link w:val="12"/>
    <w:semiHidden/>
    <w:qFormat/>
    <w:uiPriority w:val="99"/>
    <w:rPr>
      <w:sz w:val="18"/>
      <w:szCs w:val="18"/>
    </w:rPr>
  </w:style>
  <w:style w:type="character" w:customStyle="1" w:styleId="29">
    <w:name w:val="页眉 Char"/>
    <w:basedOn w:val="21"/>
    <w:link w:val="14"/>
    <w:semiHidden/>
    <w:qFormat/>
    <w:uiPriority w:val="99"/>
    <w:rPr>
      <w:rFonts w:asciiTheme="minorHAnsi" w:hAnsiTheme="minorHAnsi" w:cstheme="minorBidi"/>
      <w:kern w:val="2"/>
      <w:sz w:val="18"/>
      <w:szCs w:val="18"/>
    </w:rPr>
  </w:style>
  <w:style w:type="character" w:customStyle="1" w:styleId="30">
    <w:name w:val="页脚 Char"/>
    <w:basedOn w:val="21"/>
    <w:link w:val="13"/>
    <w:qFormat/>
    <w:uiPriority w:val="99"/>
    <w:rPr>
      <w:rFonts w:asciiTheme="minorHAnsi" w:hAnsiTheme="minorHAnsi" w:cstheme="minorBidi"/>
      <w:kern w:val="2"/>
      <w:sz w:val="18"/>
      <w:szCs w:val="18"/>
    </w:rPr>
  </w:style>
  <w:style w:type="paragraph" w:customStyle="1" w:styleId="31">
    <w:name w:val="Char Char Char Char Char Char Char Char Char"/>
    <w:basedOn w:val="1"/>
    <w:qFormat/>
    <w:uiPriority w:val="0"/>
    <w:pPr>
      <w:spacing w:after="160" w:line="240" w:lineRule="exact"/>
    </w:pPr>
    <w:rPr>
      <w:rFonts w:ascii="Times New Roman" w:hAnsi="Times New Roman" w:cs="Times New Roman"/>
      <w:sz w:val="21"/>
    </w:rPr>
  </w:style>
  <w:style w:type="paragraph" w:customStyle="1" w:styleId="32">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33">
    <w:name w:val="批注文字 Char"/>
    <w:basedOn w:val="21"/>
    <w:link w:val="7"/>
    <w:semiHidden/>
    <w:qFormat/>
    <w:uiPriority w:val="99"/>
    <w:rPr>
      <w:rFonts w:asciiTheme="minorHAnsi" w:hAnsiTheme="minorHAnsi" w:cstheme="minorBidi"/>
      <w:kern w:val="2"/>
      <w:sz w:val="28"/>
      <w:szCs w:val="24"/>
    </w:rPr>
  </w:style>
  <w:style w:type="character" w:customStyle="1" w:styleId="34">
    <w:name w:val="批注主题 Char"/>
    <w:basedOn w:val="33"/>
    <w:link w:val="6"/>
    <w:semiHidden/>
    <w:qFormat/>
    <w:uiPriority w:val="99"/>
    <w:rPr>
      <w:rFonts w:asciiTheme="minorHAnsi" w:hAnsiTheme="minorHAnsi" w:cstheme="minorBidi"/>
      <w:b/>
      <w:bCs/>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FD53E6-4567-4300-B928-EB406B60384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2457</Words>
  <Characters>14010</Characters>
  <Lines>116</Lines>
  <Paragraphs>32</Paragraphs>
  <ScaleCrop>false</ScaleCrop>
  <LinksUpToDate>false</LinksUpToDate>
  <CharactersWithSpaces>16435</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2016-07-21T04:38:00Z</dcterms:created>
  <dc:creator>dell</dc:creator>
  <cp:lastModifiedBy>Administrator</cp:lastModifiedBy>
  <dcterms:modified xsi:type="dcterms:W3CDTF">2016-08-26T07:14:15Z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