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hint="eastAsia" w:ascii="宋体" w:hAnsi="宋体" w:eastAsia="宋体" w:cs="宋体"/>
          <w:b/>
          <w:color w:val="000000"/>
          <w:sz w:val="52"/>
          <w:szCs w:val="52"/>
        </w:rPr>
      </w:pPr>
      <w:r>
        <w:rPr>
          <w:rFonts w:hint="eastAsia" w:ascii="宋体" w:hAnsi="宋体" w:eastAsia="宋体" w:cs="宋体"/>
          <w:b/>
          <w:color w:val="000000"/>
          <w:sz w:val="52"/>
          <w:szCs w:val="52"/>
        </w:rPr>
        <w:t>阳山县管道燃气特许经营项目</w:t>
      </w:r>
    </w:p>
    <w:p>
      <w:pPr>
        <w:jc w:val="center"/>
        <w:rPr>
          <w:rFonts w:hint="eastAsia" w:ascii="隶书" w:hAnsi="隶书" w:eastAsia="隶书" w:cs="隶书"/>
          <w:b/>
          <w:color w:val="000000"/>
          <w:spacing w:val="40"/>
          <w:sz w:val="72"/>
          <w:szCs w:val="72"/>
          <w:lang w:val="en-US" w:eastAsia="zh-CN"/>
        </w:rPr>
      </w:pPr>
      <w:r>
        <w:rPr>
          <w:rFonts w:hint="eastAsia" w:ascii="隶书" w:hAnsi="隶书" w:eastAsia="隶书" w:cs="隶书"/>
          <w:b/>
          <w:color w:val="000000"/>
          <w:spacing w:val="40"/>
          <w:sz w:val="72"/>
          <w:szCs w:val="72"/>
          <w:lang w:val="en-US" w:eastAsia="zh-CN"/>
        </w:rPr>
        <w:t>实施方案</w:t>
      </w:r>
    </w:p>
    <w:p>
      <w:pPr>
        <w:jc w:val="center"/>
        <w:rPr>
          <w:rFonts w:hint="eastAsia" w:ascii="隶书" w:hAnsi="隶书" w:eastAsia="隶书" w:cs="隶书"/>
          <w:b/>
          <w:color w:val="000000"/>
          <w:spacing w:val="40"/>
          <w:sz w:val="72"/>
          <w:szCs w:val="72"/>
          <w:lang w:val="en-US" w:eastAsia="zh-CN"/>
        </w:rPr>
      </w:pPr>
    </w:p>
    <w:p>
      <w:pPr>
        <w:rPr>
          <w:rFonts w:hint="eastAsia"/>
          <w:b/>
          <w:color w:val="000000"/>
        </w:rPr>
      </w:pPr>
    </w:p>
    <w:p>
      <w:pPr>
        <w:rPr>
          <w:rFonts w:hint="eastAsia" w:ascii="黑体" w:eastAsia="黑体"/>
          <w:b/>
          <w:color w:val="000000"/>
        </w:rPr>
      </w:pPr>
    </w:p>
    <w:p>
      <w:pPr>
        <w:rPr>
          <w:rFonts w:hint="eastAsia" w:ascii="幼圆" w:eastAsia="幼圆"/>
          <w:b/>
          <w:color w:val="000000"/>
        </w:rPr>
      </w:pPr>
    </w:p>
    <w:p>
      <w:pPr>
        <w:jc w:val="center"/>
        <w:rPr>
          <w:rFonts w:hint="eastAsia" w:ascii="幼圆" w:eastAsia="幼圆"/>
          <w:b/>
          <w:color w:val="000000"/>
        </w:rPr>
      </w:pPr>
    </w:p>
    <w:p>
      <w:pPr>
        <w:jc w:val="center"/>
        <w:rPr>
          <w:rFonts w:hint="eastAsia" w:ascii="幼圆" w:eastAsia="幼圆"/>
          <w:b/>
          <w:color w:val="000000"/>
        </w:rPr>
      </w:pPr>
    </w:p>
    <w:p>
      <w:pPr>
        <w:jc w:val="center"/>
        <w:rPr>
          <w:rFonts w:hint="eastAsia" w:ascii="幼圆" w:eastAsia="幼圆"/>
          <w:b/>
          <w:color w:val="000000"/>
        </w:rPr>
      </w:pPr>
    </w:p>
    <w:p>
      <w:pPr>
        <w:jc w:val="center"/>
        <w:rPr>
          <w:rFonts w:hint="eastAsia" w:ascii="幼圆" w:eastAsia="幼圆"/>
          <w:b/>
          <w:color w:val="000000"/>
        </w:rPr>
      </w:pPr>
    </w:p>
    <w:p>
      <w:pPr>
        <w:jc w:val="center"/>
        <w:rPr>
          <w:rFonts w:hint="eastAsia" w:ascii="幼圆" w:eastAsia="幼圆"/>
          <w:b/>
          <w:color w:val="000000"/>
        </w:rPr>
      </w:pPr>
    </w:p>
    <w:p>
      <w:pPr>
        <w:jc w:val="center"/>
        <w:rPr>
          <w:rFonts w:hint="eastAsia" w:ascii="幼圆" w:eastAsia="幼圆"/>
          <w:b/>
          <w:color w:val="000000"/>
        </w:rPr>
      </w:pPr>
    </w:p>
    <w:p>
      <w:pPr>
        <w:jc w:val="center"/>
        <w:rPr>
          <w:rFonts w:hint="eastAsia" w:ascii="幼圆" w:eastAsia="幼圆"/>
          <w:b/>
          <w:color w:val="000000"/>
        </w:rPr>
      </w:pPr>
    </w:p>
    <w:p>
      <w:pPr>
        <w:jc w:val="center"/>
        <w:rPr>
          <w:rFonts w:hint="eastAsia" w:ascii="幼圆" w:eastAsia="幼圆"/>
          <w:b/>
          <w:color w:val="000000"/>
        </w:rPr>
      </w:pPr>
    </w:p>
    <w:p>
      <w:pPr>
        <w:jc w:val="center"/>
        <w:rPr>
          <w:rFonts w:hint="eastAsia" w:ascii="幼圆" w:eastAsia="幼圆"/>
          <w:b/>
          <w:color w:val="000000"/>
        </w:rPr>
      </w:pPr>
      <w:bookmarkStart w:id="157" w:name="_GoBack"/>
      <w:bookmarkEnd w:id="157"/>
    </w:p>
    <w:p>
      <w:pPr>
        <w:jc w:val="center"/>
        <w:rPr>
          <w:rFonts w:hint="eastAsia" w:ascii="幼圆" w:eastAsia="幼圆"/>
          <w:b/>
          <w:color w:val="000000"/>
        </w:rPr>
      </w:pPr>
    </w:p>
    <w:p>
      <w:pPr>
        <w:jc w:val="center"/>
        <w:rPr>
          <w:rFonts w:hint="eastAsia" w:ascii="幼圆" w:eastAsia="幼圆"/>
          <w:b/>
          <w:color w:val="000000"/>
        </w:rPr>
      </w:pPr>
    </w:p>
    <w:p>
      <w:pPr>
        <w:jc w:val="center"/>
        <w:rPr>
          <w:rFonts w:hint="eastAsia" w:ascii="幼圆" w:eastAsia="幼圆"/>
          <w:b/>
          <w:color w:val="000000"/>
        </w:rPr>
      </w:pPr>
    </w:p>
    <w:p>
      <w:pPr>
        <w:jc w:val="center"/>
        <w:rPr>
          <w:rFonts w:hint="eastAsia" w:ascii="幼圆" w:eastAsia="幼圆"/>
          <w:b/>
          <w:color w:val="000000"/>
        </w:rPr>
      </w:pPr>
    </w:p>
    <w:p>
      <w:pPr>
        <w:jc w:val="center"/>
        <w:rPr>
          <w:rFonts w:hint="eastAsia" w:ascii="幼圆" w:eastAsia="幼圆"/>
          <w:b/>
          <w:color w:val="000000"/>
        </w:rPr>
      </w:pPr>
    </w:p>
    <w:p>
      <w:pPr>
        <w:jc w:val="center"/>
        <w:rPr>
          <w:rFonts w:hint="eastAsia" w:ascii="幼圆" w:eastAsia="幼圆"/>
          <w:b/>
          <w:color w:val="000000"/>
        </w:rPr>
      </w:pPr>
    </w:p>
    <w:p>
      <w:pPr>
        <w:jc w:val="center"/>
        <w:rPr>
          <w:rFonts w:hint="eastAsia" w:ascii="幼圆" w:eastAsia="幼圆"/>
          <w:b/>
          <w:color w:val="000000"/>
        </w:rPr>
      </w:pPr>
    </w:p>
    <w:p>
      <w:pPr>
        <w:jc w:val="center"/>
        <w:rPr>
          <w:rFonts w:hint="eastAsia" w:ascii="幼圆" w:eastAsia="幼圆"/>
          <w:b/>
          <w:color w:val="000000"/>
        </w:rPr>
      </w:pPr>
    </w:p>
    <w:p>
      <w:pPr>
        <w:jc w:val="both"/>
        <w:rPr>
          <w:rFonts w:hint="eastAsia" w:ascii="幼圆" w:eastAsia="幼圆"/>
          <w:b/>
          <w:color w:val="000000"/>
        </w:rPr>
      </w:pPr>
    </w:p>
    <w:p>
      <w:pPr>
        <w:jc w:val="center"/>
        <w:rPr>
          <w:rFonts w:hint="eastAsia" w:ascii="幼圆" w:eastAsia="幼圆"/>
          <w:b/>
          <w:color w:val="000000"/>
        </w:rPr>
      </w:pPr>
    </w:p>
    <w:p>
      <w:pPr>
        <w:jc w:val="center"/>
        <w:rPr>
          <w:rFonts w:hint="eastAsia" w:ascii="幼圆" w:eastAsia="幼圆"/>
          <w:b/>
          <w:color w:val="000000"/>
        </w:rPr>
      </w:pPr>
    </w:p>
    <w:p>
      <w:pPr>
        <w:jc w:val="center"/>
        <w:rPr>
          <w:rFonts w:hint="eastAsia" w:ascii="幼圆" w:eastAsia="幼圆"/>
          <w:b/>
          <w:color w:val="000000"/>
        </w:rPr>
      </w:pPr>
    </w:p>
    <w:p>
      <w:pPr>
        <w:ind w:firstLine="996" w:firstLineChars="300"/>
        <w:jc w:val="center"/>
        <w:rPr>
          <w:rFonts w:hint="eastAsia" w:ascii="宋体" w:hAnsi="宋体" w:eastAsia="宋体" w:cs="宋体"/>
          <w:b/>
          <w:sz w:val="36"/>
          <w:szCs w:val="36"/>
        </w:rPr>
      </w:pPr>
    </w:p>
    <w:p>
      <w:pPr>
        <w:jc w:val="center"/>
        <w:rPr>
          <w:rFonts w:hint="eastAsia" w:ascii="宋体" w:hAnsi="宋体" w:eastAsia="宋体" w:cs="宋体"/>
          <w:b/>
          <w:sz w:val="36"/>
          <w:szCs w:val="36"/>
          <w:lang w:eastAsia="zh-CN"/>
        </w:rPr>
      </w:pPr>
    </w:p>
    <w:p>
      <w:pPr>
        <w:jc w:val="center"/>
        <w:rPr>
          <w:rFonts w:hint="eastAsia"/>
        </w:rPr>
      </w:pPr>
      <w:r>
        <w:rPr>
          <w:rFonts w:hint="eastAsia" w:ascii="宋体" w:hAnsi="宋体" w:eastAsia="宋体" w:cs="宋体"/>
          <w:b/>
          <w:sz w:val="36"/>
          <w:szCs w:val="36"/>
        </w:rPr>
        <w:t xml:space="preserve">2016 年 </w:t>
      </w:r>
      <w:r>
        <w:rPr>
          <w:rFonts w:hint="eastAsia" w:ascii="宋体" w:hAnsi="宋体" w:eastAsia="宋体" w:cs="宋体"/>
          <w:b/>
          <w:sz w:val="36"/>
          <w:szCs w:val="36"/>
          <w:lang w:val="en-US" w:eastAsia="zh-CN"/>
        </w:rPr>
        <w:t>7</w:t>
      </w:r>
      <w:r>
        <w:rPr>
          <w:rFonts w:hint="eastAsia" w:ascii="宋体" w:hAnsi="宋体" w:eastAsia="宋体" w:cs="宋体"/>
          <w:b/>
          <w:sz w:val="36"/>
          <w:szCs w:val="36"/>
        </w:rPr>
        <w:t>月</w:t>
      </w:r>
    </w:p>
    <w:p>
      <w:pPr>
        <w:pStyle w:val="17"/>
        <w:tabs>
          <w:tab w:val="right" w:leader="dot" w:pos="8930"/>
        </w:tabs>
        <w:jc w:val="center"/>
        <w:rPr>
          <w:rFonts w:hint="eastAsia"/>
          <w:color w:val="auto"/>
          <w:sz w:val="30"/>
          <w:szCs w:val="30"/>
          <w:highlight w:val="none"/>
        </w:rPr>
      </w:pPr>
    </w:p>
    <w:p>
      <w:pPr>
        <w:rPr>
          <w:rFonts w:hint="eastAsia"/>
          <w:color w:val="auto"/>
          <w:sz w:val="30"/>
          <w:szCs w:val="30"/>
          <w:highlight w:val="none"/>
        </w:rPr>
      </w:pPr>
    </w:p>
    <w:p>
      <w:pPr>
        <w:pStyle w:val="17"/>
        <w:tabs>
          <w:tab w:val="right" w:leader="dot" w:pos="8930"/>
        </w:tabs>
        <w:jc w:val="center"/>
        <w:rPr>
          <w:color w:val="auto"/>
          <w:highlight w:val="none"/>
        </w:rPr>
      </w:pPr>
      <w:r>
        <w:rPr>
          <w:rFonts w:hint="eastAsia"/>
          <w:color w:val="auto"/>
          <w:sz w:val="30"/>
          <w:szCs w:val="30"/>
          <w:highlight w:val="none"/>
        </w:rPr>
        <w:t>目  录</w:t>
      </w:r>
    </w:p>
    <w:p>
      <w:pPr>
        <w:pStyle w:val="17"/>
        <w:tabs>
          <w:tab w:val="right" w:leader="dot" w:pos="8930"/>
        </w:tabs>
        <w:rPr>
          <w:rFonts w:hint="eastAsia" w:ascii="仿宋" w:hAnsi="仿宋" w:eastAsia="仿宋" w:cs="仿宋"/>
          <w:color w:val="auto"/>
          <w:kern w:val="44"/>
          <w:sz w:val="28"/>
          <w:szCs w:val="28"/>
          <w:highlight w:val="none"/>
          <w:lang w:val="en-US" w:eastAsia="zh-CN" w:bidi="ar-SA"/>
        </w:rPr>
      </w:pPr>
      <w:r>
        <w:rPr>
          <w:rFonts w:hint="eastAsia"/>
          <w:color w:val="auto"/>
          <w:kern w:val="44"/>
          <w:sz w:val="28"/>
          <w:szCs w:val="28"/>
          <w:highlight w:val="none"/>
        </w:rPr>
        <w:fldChar w:fldCharType="begin"/>
      </w:r>
      <w:r>
        <w:rPr>
          <w:rFonts w:hint="eastAsia"/>
          <w:color w:val="auto"/>
          <w:kern w:val="44"/>
          <w:sz w:val="28"/>
          <w:szCs w:val="28"/>
          <w:highlight w:val="none"/>
        </w:rPr>
        <w:instrText xml:space="preserve">TOC \o "1-2" \h \u </w:instrText>
      </w:r>
      <w:r>
        <w:rPr>
          <w:rFonts w:hint="eastAsia"/>
          <w:color w:val="auto"/>
          <w:kern w:val="44"/>
          <w:sz w:val="28"/>
          <w:szCs w:val="28"/>
          <w:highlight w:val="none"/>
        </w:rPr>
        <w:fldChar w:fldCharType="separate"/>
      </w: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HYPERLINK \l _Toc10772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第一章 项目概况</w:t>
      </w:r>
      <w:r>
        <w:rPr>
          <w:rFonts w:hint="eastAsia" w:ascii="仿宋" w:hAnsi="仿宋" w:eastAsia="仿宋" w:cs="仿宋"/>
          <w:color w:val="auto"/>
          <w:kern w:val="44"/>
          <w:sz w:val="28"/>
          <w:szCs w:val="28"/>
          <w:highlight w:val="none"/>
          <w:lang w:val="en-US" w:eastAsia="zh-CN" w:bidi="ar-SA"/>
        </w:rPr>
        <w:tab/>
      </w: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PAGEREF _Toc10772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2</w:t>
      </w:r>
      <w:r>
        <w:rPr>
          <w:rFonts w:hint="eastAsia" w:ascii="仿宋" w:hAnsi="仿宋" w:eastAsia="仿宋" w:cs="仿宋"/>
          <w:color w:val="auto"/>
          <w:kern w:val="44"/>
          <w:sz w:val="28"/>
          <w:szCs w:val="28"/>
          <w:highlight w:val="none"/>
          <w:lang w:val="en-US" w:eastAsia="zh-CN" w:bidi="ar-SA"/>
        </w:rPr>
        <w:fldChar w:fldCharType="end"/>
      </w:r>
      <w:r>
        <w:rPr>
          <w:rFonts w:hint="eastAsia" w:ascii="仿宋" w:hAnsi="仿宋" w:eastAsia="仿宋" w:cs="仿宋"/>
          <w:color w:val="auto"/>
          <w:kern w:val="44"/>
          <w:sz w:val="28"/>
          <w:szCs w:val="28"/>
          <w:highlight w:val="none"/>
          <w:lang w:val="en-US" w:eastAsia="zh-CN" w:bidi="ar-SA"/>
        </w:rPr>
        <w:fldChar w:fldCharType="end"/>
      </w:r>
    </w:p>
    <w:p>
      <w:pPr>
        <w:pStyle w:val="20"/>
        <w:tabs>
          <w:tab w:val="right" w:leader="dot" w:pos="8930"/>
        </w:tabs>
        <w:rPr>
          <w:rFonts w:hint="eastAsia" w:ascii="仿宋" w:hAnsi="仿宋" w:eastAsia="仿宋" w:cs="仿宋"/>
          <w:color w:val="auto"/>
          <w:kern w:val="44"/>
          <w:sz w:val="28"/>
          <w:szCs w:val="28"/>
          <w:highlight w:val="none"/>
          <w:lang w:val="en-US" w:eastAsia="zh-CN" w:bidi="ar-SA"/>
        </w:rPr>
      </w:pP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HYPERLINK \l _Toc7087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一.项目名称</w:t>
      </w:r>
      <w:r>
        <w:rPr>
          <w:rFonts w:hint="eastAsia" w:ascii="仿宋" w:hAnsi="仿宋" w:eastAsia="仿宋" w:cs="仿宋"/>
          <w:color w:val="auto"/>
          <w:kern w:val="44"/>
          <w:sz w:val="28"/>
          <w:szCs w:val="28"/>
          <w:highlight w:val="none"/>
          <w:lang w:val="en-US" w:eastAsia="zh-CN" w:bidi="ar-SA"/>
        </w:rPr>
        <w:tab/>
      </w: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PAGEREF _Toc7087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2</w:t>
      </w:r>
      <w:r>
        <w:rPr>
          <w:rFonts w:hint="eastAsia" w:ascii="仿宋" w:hAnsi="仿宋" w:eastAsia="仿宋" w:cs="仿宋"/>
          <w:color w:val="auto"/>
          <w:kern w:val="44"/>
          <w:sz w:val="28"/>
          <w:szCs w:val="28"/>
          <w:highlight w:val="none"/>
          <w:lang w:val="en-US" w:eastAsia="zh-CN" w:bidi="ar-SA"/>
        </w:rPr>
        <w:fldChar w:fldCharType="end"/>
      </w:r>
      <w:r>
        <w:rPr>
          <w:rFonts w:hint="eastAsia" w:ascii="仿宋" w:hAnsi="仿宋" w:eastAsia="仿宋" w:cs="仿宋"/>
          <w:color w:val="auto"/>
          <w:kern w:val="44"/>
          <w:sz w:val="28"/>
          <w:szCs w:val="28"/>
          <w:highlight w:val="none"/>
          <w:lang w:val="en-US" w:eastAsia="zh-CN" w:bidi="ar-SA"/>
        </w:rPr>
        <w:fldChar w:fldCharType="end"/>
      </w:r>
    </w:p>
    <w:p>
      <w:pPr>
        <w:pStyle w:val="20"/>
        <w:tabs>
          <w:tab w:val="right" w:leader="dot" w:pos="8930"/>
        </w:tabs>
        <w:rPr>
          <w:rFonts w:hint="eastAsia" w:ascii="仿宋" w:hAnsi="仿宋" w:eastAsia="仿宋" w:cs="仿宋"/>
          <w:color w:val="auto"/>
          <w:kern w:val="44"/>
          <w:sz w:val="28"/>
          <w:szCs w:val="28"/>
          <w:highlight w:val="none"/>
          <w:lang w:val="en-US" w:eastAsia="zh-CN" w:bidi="ar-SA"/>
        </w:rPr>
      </w:pP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HYPERLINK \l _Toc11693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二.阳山县管道燃气专项规划概况</w:t>
      </w:r>
      <w:r>
        <w:rPr>
          <w:rFonts w:hint="eastAsia" w:ascii="仿宋" w:hAnsi="仿宋" w:eastAsia="仿宋" w:cs="仿宋"/>
          <w:color w:val="auto"/>
          <w:kern w:val="44"/>
          <w:sz w:val="28"/>
          <w:szCs w:val="28"/>
          <w:highlight w:val="none"/>
          <w:lang w:val="en-US" w:eastAsia="zh-CN" w:bidi="ar-SA"/>
        </w:rPr>
        <w:tab/>
      </w: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PAGEREF _Toc11693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2</w:t>
      </w:r>
      <w:r>
        <w:rPr>
          <w:rFonts w:hint="eastAsia" w:ascii="仿宋" w:hAnsi="仿宋" w:eastAsia="仿宋" w:cs="仿宋"/>
          <w:color w:val="auto"/>
          <w:kern w:val="44"/>
          <w:sz w:val="28"/>
          <w:szCs w:val="28"/>
          <w:highlight w:val="none"/>
          <w:lang w:val="en-US" w:eastAsia="zh-CN" w:bidi="ar-SA"/>
        </w:rPr>
        <w:fldChar w:fldCharType="end"/>
      </w:r>
      <w:r>
        <w:rPr>
          <w:rFonts w:hint="eastAsia" w:ascii="仿宋" w:hAnsi="仿宋" w:eastAsia="仿宋" w:cs="仿宋"/>
          <w:color w:val="auto"/>
          <w:kern w:val="44"/>
          <w:sz w:val="28"/>
          <w:szCs w:val="28"/>
          <w:highlight w:val="none"/>
          <w:lang w:val="en-US" w:eastAsia="zh-CN" w:bidi="ar-SA"/>
        </w:rPr>
        <w:fldChar w:fldCharType="end"/>
      </w:r>
    </w:p>
    <w:p>
      <w:pPr>
        <w:pStyle w:val="20"/>
        <w:tabs>
          <w:tab w:val="right" w:leader="dot" w:pos="8930"/>
        </w:tabs>
        <w:rPr>
          <w:rFonts w:hint="eastAsia" w:ascii="仿宋" w:hAnsi="仿宋" w:eastAsia="仿宋" w:cs="仿宋"/>
          <w:color w:val="auto"/>
          <w:kern w:val="44"/>
          <w:sz w:val="28"/>
          <w:szCs w:val="28"/>
          <w:highlight w:val="none"/>
          <w:lang w:val="en-US" w:eastAsia="zh-CN" w:bidi="ar-SA"/>
        </w:rPr>
      </w:pP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HYPERLINK \l _Toc12209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三.建设规模</w:t>
      </w:r>
      <w:r>
        <w:rPr>
          <w:rFonts w:hint="eastAsia" w:ascii="仿宋" w:hAnsi="仿宋" w:eastAsia="仿宋" w:cs="仿宋"/>
          <w:color w:val="auto"/>
          <w:kern w:val="44"/>
          <w:sz w:val="28"/>
          <w:szCs w:val="28"/>
          <w:highlight w:val="none"/>
          <w:lang w:val="en-US" w:eastAsia="zh-CN" w:bidi="ar-SA"/>
        </w:rPr>
        <w:tab/>
      </w: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PAGEREF _Toc12209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3</w:t>
      </w:r>
      <w:r>
        <w:rPr>
          <w:rFonts w:hint="eastAsia" w:ascii="仿宋" w:hAnsi="仿宋" w:eastAsia="仿宋" w:cs="仿宋"/>
          <w:color w:val="auto"/>
          <w:kern w:val="44"/>
          <w:sz w:val="28"/>
          <w:szCs w:val="28"/>
          <w:highlight w:val="none"/>
          <w:lang w:val="en-US" w:eastAsia="zh-CN" w:bidi="ar-SA"/>
        </w:rPr>
        <w:fldChar w:fldCharType="end"/>
      </w:r>
      <w:r>
        <w:rPr>
          <w:rFonts w:hint="eastAsia" w:ascii="仿宋" w:hAnsi="仿宋" w:eastAsia="仿宋" w:cs="仿宋"/>
          <w:color w:val="auto"/>
          <w:kern w:val="44"/>
          <w:sz w:val="28"/>
          <w:szCs w:val="28"/>
          <w:highlight w:val="none"/>
          <w:lang w:val="en-US" w:eastAsia="zh-CN" w:bidi="ar-SA"/>
        </w:rPr>
        <w:fldChar w:fldCharType="end"/>
      </w:r>
    </w:p>
    <w:p>
      <w:pPr>
        <w:pStyle w:val="20"/>
        <w:tabs>
          <w:tab w:val="right" w:leader="dot" w:pos="8930"/>
        </w:tabs>
        <w:rPr>
          <w:rFonts w:hint="eastAsia" w:ascii="仿宋" w:hAnsi="仿宋" w:eastAsia="仿宋" w:cs="仿宋"/>
          <w:color w:val="auto"/>
          <w:kern w:val="44"/>
          <w:sz w:val="28"/>
          <w:szCs w:val="28"/>
          <w:highlight w:val="none"/>
          <w:lang w:val="en-US" w:eastAsia="zh-CN" w:bidi="ar-SA"/>
        </w:rPr>
      </w:pP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HYPERLINK \l _Toc31832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四.投资总额</w:t>
      </w:r>
      <w:r>
        <w:rPr>
          <w:rFonts w:hint="eastAsia" w:ascii="仿宋" w:hAnsi="仿宋" w:eastAsia="仿宋" w:cs="仿宋"/>
          <w:color w:val="auto"/>
          <w:kern w:val="44"/>
          <w:sz w:val="28"/>
          <w:szCs w:val="28"/>
          <w:highlight w:val="none"/>
          <w:lang w:val="en-US" w:eastAsia="zh-CN" w:bidi="ar-SA"/>
        </w:rPr>
        <w:tab/>
      </w: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PAGEREF _Toc31832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3</w:t>
      </w:r>
      <w:r>
        <w:rPr>
          <w:rFonts w:hint="eastAsia" w:ascii="仿宋" w:hAnsi="仿宋" w:eastAsia="仿宋" w:cs="仿宋"/>
          <w:color w:val="auto"/>
          <w:kern w:val="44"/>
          <w:sz w:val="28"/>
          <w:szCs w:val="28"/>
          <w:highlight w:val="none"/>
          <w:lang w:val="en-US" w:eastAsia="zh-CN" w:bidi="ar-SA"/>
        </w:rPr>
        <w:fldChar w:fldCharType="end"/>
      </w:r>
      <w:r>
        <w:rPr>
          <w:rFonts w:hint="eastAsia" w:ascii="仿宋" w:hAnsi="仿宋" w:eastAsia="仿宋" w:cs="仿宋"/>
          <w:color w:val="auto"/>
          <w:kern w:val="44"/>
          <w:sz w:val="28"/>
          <w:szCs w:val="28"/>
          <w:highlight w:val="none"/>
          <w:lang w:val="en-US" w:eastAsia="zh-CN" w:bidi="ar-SA"/>
        </w:rPr>
        <w:fldChar w:fldCharType="end"/>
      </w:r>
    </w:p>
    <w:p>
      <w:pPr>
        <w:pStyle w:val="20"/>
        <w:tabs>
          <w:tab w:val="right" w:leader="dot" w:pos="8930"/>
        </w:tabs>
        <w:rPr>
          <w:rFonts w:hint="eastAsia" w:ascii="仿宋" w:hAnsi="仿宋" w:eastAsia="仿宋" w:cs="仿宋"/>
          <w:color w:val="auto"/>
          <w:kern w:val="44"/>
          <w:sz w:val="28"/>
          <w:szCs w:val="28"/>
          <w:highlight w:val="none"/>
          <w:lang w:val="en-US" w:eastAsia="zh-CN" w:bidi="ar-SA"/>
        </w:rPr>
      </w:pP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HYPERLINK \l _Toc28219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五.项目实施进度</w:t>
      </w:r>
      <w:r>
        <w:rPr>
          <w:rFonts w:hint="eastAsia" w:ascii="仿宋" w:hAnsi="仿宋" w:eastAsia="仿宋" w:cs="仿宋"/>
          <w:color w:val="auto"/>
          <w:kern w:val="44"/>
          <w:sz w:val="28"/>
          <w:szCs w:val="28"/>
          <w:highlight w:val="none"/>
          <w:lang w:val="en-US" w:eastAsia="zh-CN" w:bidi="ar-SA"/>
        </w:rPr>
        <w:tab/>
      </w: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PAGEREF _Toc28219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4</w:t>
      </w:r>
      <w:r>
        <w:rPr>
          <w:rFonts w:hint="eastAsia" w:ascii="仿宋" w:hAnsi="仿宋" w:eastAsia="仿宋" w:cs="仿宋"/>
          <w:color w:val="auto"/>
          <w:kern w:val="44"/>
          <w:sz w:val="28"/>
          <w:szCs w:val="28"/>
          <w:highlight w:val="none"/>
          <w:lang w:val="en-US" w:eastAsia="zh-CN" w:bidi="ar-SA"/>
        </w:rPr>
        <w:fldChar w:fldCharType="end"/>
      </w:r>
      <w:r>
        <w:rPr>
          <w:rFonts w:hint="eastAsia" w:ascii="仿宋" w:hAnsi="仿宋" w:eastAsia="仿宋" w:cs="仿宋"/>
          <w:color w:val="auto"/>
          <w:kern w:val="44"/>
          <w:sz w:val="28"/>
          <w:szCs w:val="28"/>
          <w:highlight w:val="none"/>
          <w:lang w:val="en-US" w:eastAsia="zh-CN" w:bidi="ar-SA"/>
        </w:rPr>
        <w:fldChar w:fldCharType="end"/>
      </w:r>
    </w:p>
    <w:p>
      <w:pPr>
        <w:pStyle w:val="20"/>
        <w:tabs>
          <w:tab w:val="right" w:leader="dot" w:pos="8930"/>
        </w:tabs>
        <w:rPr>
          <w:rFonts w:hint="eastAsia" w:ascii="仿宋" w:hAnsi="仿宋" w:eastAsia="仿宋" w:cs="仿宋"/>
          <w:color w:val="auto"/>
          <w:kern w:val="44"/>
          <w:sz w:val="28"/>
          <w:szCs w:val="28"/>
          <w:highlight w:val="none"/>
          <w:lang w:val="en-US" w:eastAsia="zh-CN" w:bidi="ar-SA"/>
        </w:rPr>
      </w:pP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HYPERLINK \l _Toc24896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六.特许经营权的范围</w:t>
      </w:r>
      <w:r>
        <w:rPr>
          <w:rFonts w:hint="eastAsia" w:ascii="仿宋" w:hAnsi="仿宋" w:eastAsia="仿宋" w:cs="仿宋"/>
          <w:color w:val="auto"/>
          <w:kern w:val="44"/>
          <w:sz w:val="28"/>
          <w:szCs w:val="28"/>
          <w:highlight w:val="none"/>
          <w:lang w:val="en-US" w:eastAsia="zh-CN" w:bidi="ar-SA"/>
        </w:rPr>
        <w:tab/>
      </w: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PAGEREF _Toc24896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5</w:t>
      </w:r>
      <w:r>
        <w:rPr>
          <w:rFonts w:hint="eastAsia" w:ascii="仿宋" w:hAnsi="仿宋" w:eastAsia="仿宋" w:cs="仿宋"/>
          <w:color w:val="auto"/>
          <w:kern w:val="44"/>
          <w:sz w:val="28"/>
          <w:szCs w:val="28"/>
          <w:highlight w:val="none"/>
          <w:lang w:val="en-US" w:eastAsia="zh-CN" w:bidi="ar-SA"/>
        </w:rPr>
        <w:fldChar w:fldCharType="end"/>
      </w:r>
      <w:r>
        <w:rPr>
          <w:rFonts w:hint="eastAsia" w:ascii="仿宋" w:hAnsi="仿宋" w:eastAsia="仿宋" w:cs="仿宋"/>
          <w:color w:val="auto"/>
          <w:kern w:val="44"/>
          <w:sz w:val="28"/>
          <w:szCs w:val="28"/>
          <w:highlight w:val="none"/>
          <w:lang w:val="en-US" w:eastAsia="zh-CN" w:bidi="ar-SA"/>
        </w:rPr>
        <w:fldChar w:fldCharType="end"/>
      </w:r>
    </w:p>
    <w:p>
      <w:pPr>
        <w:pStyle w:val="20"/>
        <w:tabs>
          <w:tab w:val="right" w:leader="dot" w:pos="8930"/>
        </w:tabs>
        <w:rPr>
          <w:rFonts w:hint="eastAsia" w:ascii="仿宋" w:hAnsi="仿宋" w:eastAsia="仿宋" w:cs="仿宋"/>
          <w:color w:val="auto"/>
          <w:kern w:val="44"/>
          <w:sz w:val="28"/>
          <w:szCs w:val="28"/>
          <w:highlight w:val="none"/>
          <w:lang w:val="en-US" w:eastAsia="zh-CN" w:bidi="ar-SA"/>
        </w:rPr>
      </w:pP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HYPERLINK \l _Toc32153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七.特许经营权的期限</w:t>
      </w:r>
      <w:r>
        <w:rPr>
          <w:rFonts w:hint="eastAsia" w:ascii="仿宋" w:hAnsi="仿宋" w:eastAsia="仿宋" w:cs="仿宋"/>
          <w:color w:val="auto"/>
          <w:kern w:val="44"/>
          <w:sz w:val="28"/>
          <w:szCs w:val="28"/>
          <w:highlight w:val="none"/>
          <w:lang w:val="en-US" w:eastAsia="zh-CN" w:bidi="ar-SA"/>
        </w:rPr>
        <w:tab/>
      </w: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PAGEREF _Toc32153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5</w:t>
      </w:r>
      <w:r>
        <w:rPr>
          <w:rFonts w:hint="eastAsia" w:ascii="仿宋" w:hAnsi="仿宋" w:eastAsia="仿宋" w:cs="仿宋"/>
          <w:color w:val="auto"/>
          <w:kern w:val="44"/>
          <w:sz w:val="28"/>
          <w:szCs w:val="28"/>
          <w:highlight w:val="none"/>
          <w:lang w:val="en-US" w:eastAsia="zh-CN" w:bidi="ar-SA"/>
        </w:rPr>
        <w:fldChar w:fldCharType="end"/>
      </w:r>
      <w:r>
        <w:rPr>
          <w:rFonts w:hint="eastAsia" w:ascii="仿宋" w:hAnsi="仿宋" w:eastAsia="仿宋" w:cs="仿宋"/>
          <w:color w:val="auto"/>
          <w:kern w:val="44"/>
          <w:sz w:val="28"/>
          <w:szCs w:val="28"/>
          <w:highlight w:val="none"/>
          <w:lang w:val="en-US" w:eastAsia="zh-CN" w:bidi="ar-SA"/>
        </w:rPr>
        <w:fldChar w:fldCharType="end"/>
      </w:r>
    </w:p>
    <w:p>
      <w:pPr>
        <w:pStyle w:val="20"/>
        <w:tabs>
          <w:tab w:val="right" w:leader="dot" w:pos="8930"/>
        </w:tabs>
        <w:rPr>
          <w:rFonts w:hint="eastAsia" w:ascii="仿宋" w:hAnsi="仿宋" w:eastAsia="仿宋" w:cs="仿宋"/>
          <w:color w:val="auto"/>
          <w:kern w:val="44"/>
          <w:sz w:val="28"/>
          <w:szCs w:val="28"/>
          <w:highlight w:val="none"/>
          <w:lang w:val="en-US" w:eastAsia="zh-CN" w:bidi="ar-SA"/>
        </w:rPr>
      </w:pP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HYPERLINK \l _Toc6659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八.特许经营权项目公司</w:t>
      </w:r>
      <w:r>
        <w:rPr>
          <w:rFonts w:hint="eastAsia" w:ascii="仿宋" w:hAnsi="仿宋" w:eastAsia="仿宋" w:cs="仿宋"/>
          <w:color w:val="auto"/>
          <w:kern w:val="44"/>
          <w:sz w:val="28"/>
          <w:szCs w:val="28"/>
          <w:highlight w:val="none"/>
          <w:lang w:val="en-US" w:eastAsia="zh-CN" w:bidi="ar-SA"/>
        </w:rPr>
        <w:tab/>
      </w: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PAGEREF _Toc6659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6</w:t>
      </w:r>
      <w:r>
        <w:rPr>
          <w:rFonts w:hint="eastAsia" w:ascii="仿宋" w:hAnsi="仿宋" w:eastAsia="仿宋" w:cs="仿宋"/>
          <w:color w:val="auto"/>
          <w:kern w:val="44"/>
          <w:sz w:val="28"/>
          <w:szCs w:val="28"/>
          <w:highlight w:val="none"/>
          <w:lang w:val="en-US" w:eastAsia="zh-CN" w:bidi="ar-SA"/>
        </w:rPr>
        <w:fldChar w:fldCharType="end"/>
      </w:r>
      <w:r>
        <w:rPr>
          <w:rFonts w:hint="eastAsia" w:ascii="仿宋" w:hAnsi="仿宋" w:eastAsia="仿宋" w:cs="仿宋"/>
          <w:color w:val="auto"/>
          <w:kern w:val="44"/>
          <w:sz w:val="28"/>
          <w:szCs w:val="28"/>
          <w:highlight w:val="none"/>
          <w:lang w:val="en-US" w:eastAsia="zh-CN" w:bidi="ar-SA"/>
        </w:rPr>
        <w:fldChar w:fldCharType="end"/>
      </w:r>
    </w:p>
    <w:p>
      <w:pPr>
        <w:pStyle w:val="17"/>
        <w:tabs>
          <w:tab w:val="right" w:leader="dot" w:pos="8930"/>
        </w:tabs>
        <w:rPr>
          <w:rFonts w:hint="eastAsia" w:ascii="仿宋" w:hAnsi="仿宋" w:eastAsia="仿宋" w:cs="仿宋"/>
          <w:color w:val="auto"/>
          <w:kern w:val="44"/>
          <w:sz w:val="28"/>
          <w:szCs w:val="28"/>
          <w:highlight w:val="none"/>
          <w:lang w:val="en-US" w:eastAsia="zh-CN" w:bidi="ar-SA"/>
        </w:rPr>
      </w:pP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HYPERLINK \l _Toc15189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第二章 项目的实施机构</w:t>
      </w:r>
      <w:r>
        <w:rPr>
          <w:rFonts w:hint="eastAsia" w:ascii="仿宋" w:hAnsi="仿宋" w:eastAsia="仿宋" w:cs="仿宋"/>
          <w:color w:val="auto"/>
          <w:kern w:val="44"/>
          <w:sz w:val="28"/>
          <w:szCs w:val="28"/>
          <w:highlight w:val="none"/>
          <w:lang w:val="en-US" w:eastAsia="zh-CN" w:bidi="ar-SA"/>
        </w:rPr>
        <w:tab/>
      </w: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PAGEREF _Toc15189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7</w:t>
      </w:r>
      <w:r>
        <w:rPr>
          <w:rFonts w:hint="eastAsia" w:ascii="仿宋" w:hAnsi="仿宋" w:eastAsia="仿宋" w:cs="仿宋"/>
          <w:color w:val="auto"/>
          <w:kern w:val="44"/>
          <w:sz w:val="28"/>
          <w:szCs w:val="28"/>
          <w:highlight w:val="none"/>
          <w:lang w:val="en-US" w:eastAsia="zh-CN" w:bidi="ar-SA"/>
        </w:rPr>
        <w:fldChar w:fldCharType="end"/>
      </w:r>
      <w:r>
        <w:rPr>
          <w:rFonts w:hint="eastAsia" w:ascii="仿宋" w:hAnsi="仿宋" w:eastAsia="仿宋" w:cs="仿宋"/>
          <w:color w:val="auto"/>
          <w:kern w:val="44"/>
          <w:sz w:val="28"/>
          <w:szCs w:val="28"/>
          <w:highlight w:val="none"/>
          <w:lang w:val="en-US" w:eastAsia="zh-CN" w:bidi="ar-SA"/>
        </w:rPr>
        <w:fldChar w:fldCharType="end"/>
      </w:r>
    </w:p>
    <w:p>
      <w:pPr>
        <w:pStyle w:val="20"/>
        <w:tabs>
          <w:tab w:val="right" w:leader="dot" w:pos="8930"/>
        </w:tabs>
        <w:rPr>
          <w:rFonts w:hint="eastAsia" w:ascii="仿宋" w:hAnsi="仿宋" w:eastAsia="仿宋" w:cs="仿宋"/>
          <w:color w:val="auto"/>
          <w:kern w:val="44"/>
          <w:sz w:val="28"/>
          <w:szCs w:val="28"/>
          <w:highlight w:val="none"/>
          <w:lang w:val="en-US" w:eastAsia="zh-CN" w:bidi="ar-SA"/>
        </w:rPr>
      </w:pP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HYPERLINK \l _Toc21220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一.项目实施的依据</w:t>
      </w:r>
      <w:r>
        <w:rPr>
          <w:rFonts w:hint="eastAsia" w:ascii="仿宋" w:hAnsi="仿宋" w:eastAsia="仿宋" w:cs="仿宋"/>
          <w:color w:val="auto"/>
          <w:kern w:val="44"/>
          <w:sz w:val="28"/>
          <w:szCs w:val="28"/>
          <w:highlight w:val="none"/>
          <w:lang w:val="en-US" w:eastAsia="zh-CN" w:bidi="ar-SA"/>
        </w:rPr>
        <w:tab/>
      </w: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PAGEREF _Toc21220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7</w:t>
      </w:r>
      <w:r>
        <w:rPr>
          <w:rFonts w:hint="eastAsia" w:ascii="仿宋" w:hAnsi="仿宋" w:eastAsia="仿宋" w:cs="仿宋"/>
          <w:color w:val="auto"/>
          <w:kern w:val="44"/>
          <w:sz w:val="28"/>
          <w:szCs w:val="28"/>
          <w:highlight w:val="none"/>
          <w:lang w:val="en-US" w:eastAsia="zh-CN" w:bidi="ar-SA"/>
        </w:rPr>
        <w:fldChar w:fldCharType="end"/>
      </w:r>
      <w:r>
        <w:rPr>
          <w:rFonts w:hint="eastAsia" w:ascii="仿宋" w:hAnsi="仿宋" w:eastAsia="仿宋" w:cs="仿宋"/>
          <w:color w:val="auto"/>
          <w:kern w:val="44"/>
          <w:sz w:val="28"/>
          <w:szCs w:val="28"/>
          <w:highlight w:val="none"/>
          <w:lang w:val="en-US" w:eastAsia="zh-CN" w:bidi="ar-SA"/>
        </w:rPr>
        <w:fldChar w:fldCharType="end"/>
      </w:r>
    </w:p>
    <w:p>
      <w:pPr>
        <w:pStyle w:val="20"/>
        <w:tabs>
          <w:tab w:val="right" w:leader="dot" w:pos="8930"/>
        </w:tabs>
        <w:rPr>
          <w:rFonts w:hint="eastAsia" w:ascii="仿宋" w:hAnsi="仿宋" w:eastAsia="仿宋" w:cs="仿宋"/>
          <w:color w:val="auto"/>
          <w:kern w:val="44"/>
          <w:sz w:val="28"/>
          <w:szCs w:val="28"/>
          <w:highlight w:val="none"/>
          <w:lang w:val="en-US" w:eastAsia="zh-CN" w:bidi="ar-SA"/>
        </w:rPr>
      </w:pP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HYPERLINK \l _Toc15380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二.项目实施的组织机构</w:t>
      </w:r>
      <w:r>
        <w:rPr>
          <w:rFonts w:hint="eastAsia" w:ascii="仿宋" w:hAnsi="仿宋" w:eastAsia="仿宋" w:cs="仿宋"/>
          <w:color w:val="auto"/>
          <w:kern w:val="44"/>
          <w:sz w:val="28"/>
          <w:szCs w:val="28"/>
          <w:highlight w:val="none"/>
          <w:lang w:val="en-US" w:eastAsia="zh-CN" w:bidi="ar-SA"/>
        </w:rPr>
        <w:tab/>
      </w: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PAGEREF _Toc15380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7</w:t>
      </w:r>
      <w:r>
        <w:rPr>
          <w:rFonts w:hint="eastAsia" w:ascii="仿宋" w:hAnsi="仿宋" w:eastAsia="仿宋" w:cs="仿宋"/>
          <w:color w:val="auto"/>
          <w:kern w:val="44"/>
          <w:sz w:val="28"/>
          <w:szCs w:val="28"/>
          <w:highlight w:val="none"/>
          <w:lang w:val="en-US" w:eastAsia="zh-CN" w:bidi="ar-SA"/>
        </w:rPr>
        <w:fldChar w:fldCharType="end"/>
      </w:r>
      <w:r>
        <w:rPr>
          <w:rFonts w:hint="eastAsia" w:ascii="仿宋" w:hAnsi="仿宋" w:eastAsia="仿宋" w:cs="仿宋"/>
          <w:color w:val="auto"/>
          <w:kern w:val="44"/>
          <w:sz w:val="28"/>
          <w:szCs w:val="28"/>
          <w:highlight w:val="none"/>
          <w:lang w:val="en-US" w:eastAsia="zh-CN" w:bidi="ar-SA"/>
        </w:rPr>
        <w:fldChar w:fldCharType="end"/>
      </w:r>
    </w:p>
    <w:p>
      <w:pPr>
        <w:pStyle w:val="20"/>
        <w:tabs>
          <w:tab w:val="right" w:leader="dot" w:pos="8930"/>
        </w:tabs>
        <w:rPr>
          <w:rFonts w:hint="eastAsia" w:ascii="仿宋" w:hAnsi="仿宋" w:eastAsia="仿宋" w:cs="仿宋"/>
          <w:color w:val="auto"/>
          <w:kern w:val="44"/>
          <w:sz w:val="28"/>
          <w:szCs w:val="28"/>
          <w:highlight w:val="none"/>
          <w:lang w:val="en-US" w:eastAsia="zh-CN" w:bidi="ar-SA"/>
        </w:rPr>
      </w:pP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HYPERLINK \l _Toc18842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三.项目实施的原则</w:t>
      </w:r>
      <w:r>
        <w:rPr>
          <w:rFonts w:hint="eastAsia" w:ascii="仿宋" w:hAnsi="仿宋" w:eastAsia="仿宋" w:cs="仿宋"/>
          <w:color w:val="auto"/>
          <w:kern w:val="44"/>
          <w:sz w:val="28"/>
          <w:szCs w:val="28"/>
          <w:highlight w:val="none"/>
          <w:lang w:val="en-US" w:eastAsia="zh-CN" w:bidi="ar-SA"/>
        </w:rPr>
        <w:tab/>
      </w: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PAGEREF _Toc18842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7</w:t>
      </w:r>
      <w:r>
        <w:rPr>
          <w:rFonts w:hint="eastAsia" w:ascii="仿宋" w:hAnsi="仿宋" w:eastAsia="仿宋" w:cs="仿宋"/>
          <w:color w:val="auto"/>
          <w:kern w:val="44"/>
          <w:sz w:val="28"/>
          <w:szCs w:val="28"/>
          <w:highlight w:val="none"/>
          <w:lang w:val="en-US" w:eastAsia="zh-CN" w:bidi="ar-SA"/>
        </w:rPr>
        <w:fldChar w:fldCharType="end"/>
      </w:r>
      <w:r>
        <w:rPr>
          <w:rFonts w:hint="eastAsia" w:ascii="仿宋" w:hAnsi="仿宋" w:eastAsia="仿宋" w:cs="仿宋"/>
          <w:color w:val="auto"/>
          <w:kern w:val="44"/>
          <w:sz w:val="28"/>
          <w:szCs w:val="28"/>
          <w:highlight w:val="none"/>
          <w:lang w:val="en-US" w:eastAsia="zh-CN" w:bidi="ar-SA"/>
        </w:rPr>
        <w:fldChar w:fldCharType="end"/>
      </w:r>
    </w:p>
    <w:p>
      <w:pPr>
        <w:pStyle w:val="20"/>
        <w:tabs>
          <w:tab w:val="right" w:leader="dot" w:pos="8930"/>
        </w:tabs>
        <w:rPr>
          <w:rFonts w:hint="eastAsia" w:ascii="仿宋" w:hAnsi="仿宋" w:eastAsia="仿宋" w:cs="仿宋"/>
          <w:color w:val="auto"/>
          <w:kern w:val="44"/>
          <w:sz w:val="28"/>
          <w:szCs w:val="28"/>
          <w:highlight w:val="none"/>
          <w:lang w:val="en-US" w:eastAsia="zh-CN" w:bidi="ar-SA"/>
        </w:rPr>
      </w:pP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HYPERLINK \l _Toc31672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四.项目实施的步骤</w:t>
      </w:r>
      <w:r>
        <w:rPr>
          <w:rFonts w:hint="eastAsia" w:ascii="仿宋" w:hAnsi="仿宋" w:eastAsia="仿宋" w:cs="仿宋"/>
          <w:color w:val="auto"/>
          <w:kern w:val="44"/>
          <w:sz w:val="28"/>
          <w:szCs w:val="28"/>
          <w:highlight w:val="none"/>
          <w:lang w:val="en-US" w:eastAsia="zh-CN" w:bidi="ar-SA"/>
        </w:rPr>
        <w:tab/>
      </w: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PAGEREF _Toc31672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8</w:t>
      </w:r>
      <w:r>
        <w:rPr>
          <w:rFonts w:hint="eastAsia" w:ascii="仿宋" w:hAnsi="仿宋" w:eastAsia="仿宋" w:cs="仿宋"/>
          <w:color w:val="auto"/>
          <w:kern w:val="44"/>
          <w:sz w:val="28"/>
          <w:szCs w:val="28"/>
          <w:highlight w:val="none"/>
          <w:lang w:val="en-US" w:eastAsia="zh-CN" w:bidi="ar-SA"/>
        </w:rPr>
        <w:fldChar w:fldCharType="end"/>
      </w:r>
      <w:r>
        <w:rPr>
          <w:rFonts w:hint="eastAsia" w:ascii="仿宋" w:hAnsi="仿宋" w:eastAsia="仿宋" w:cs="仿宋"/>
          <w:color w:val="auto"/>
          <w:kern w:val="44"/>
          <w:sz w:val="28"/>
          <w:szCs w:val="28"/>
          <w:highlight w:val="none"/>
          <w:lang w:val="en-US" w:eastAsia="zh-CN" w:bidi="ar-SA"/>
        </w:rPr>
        <w:fldChar w:fldCharType="end"/>
      </w:r>
    </w:p>
    <w:p>
      <w:pPr>
        <w:pStyle w:val="17"/>
        <w:tabs>
          <w:tab w:val="right" w:leader="dot" w:pos="8930"/>
        </w:tabs>
        <w:rPr>
          <w:rFonts w:hint="eastAsia" w:ascii="仿宋" w:hAnsi="仿宋" w:eastAsia="仿宋" w:cs="仿宋"/>
          <w:color w:val="auto"/>
          <w:kern w:val="44"/>
          <w:sz w:val="28"/>
          <w:szCs w:val="28"/>
          <w:highlight w:val="none"/>
          <w:lang w:val="en-US" w:eastAsia="zh-CN" w:bidi="ar-SA"/>
        </w:rPr>
      </w:pP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HYPERLINK \l _Toc29560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0"/>
          <w:sz w:val="28"/>
          <w:szCs w:val="28"/>
          <w:highlight w:val="none"/>
          <w:shd w:val="clear" w:color="auto" w:fill="FFFFFF"/>
          <w:lang w:val="en-US" w:eastAsia="zh-CN" w:bidi="ar-SA"/>
        </w:rPr>
        <w:t>第三章 项目的主要经济技术指标</w:t>
      </w:r>
      <w:r>
        <w:rPr>
          <w:rFonts w:hint="eastAsia" w:ascii="仿宋" w:hAnsi="仿宋" w:eastAsia="仿宋" w:cs="仿宋"/>
          <w:color w:val="auto"/>
          <w:kern w:val="44"/>
          <w:sz w:val="28"/>
          <w:szCs w:val="28"/>
          <w:highlight w:val="none"/>
          <w:lang w:val="en-US" w:eastAsia="zh-CN" w:bidi="ar-SA"/>
        </w:rPr>
        <w:tab/>
      </w: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PAGEREF _Toc29560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9</w:t>
      </w:r>
      <w:r>
        <w:rPr>
          <w:rFonts w:hint="eastAsia" w:ascii="仿宋" w:hAnsi="仿宋" w:eastAsia="仿宋" w:cs="仿宋"/>
          <w:color w:val="auto"/>
          <w:kern w:val="44"/>
          <w:sz w:val="28"/>
          <w:szCs w:val="28"/>
          <w:highlight w:val="none"/>
          <w:lang w:val="en-US" w:eastAsia="zh-CN" w:bidi="ar-SA"/>
        </w:rPr>
        <w:fldChar w:fldCharType="end"/>
      </w:r>
      <w:r>
        <w:rPr>
          <w:rFonts w:hint="eastAsia" w:ascii="仿宋" w:hAnsi="仿宋" w:eastAsia="仿宋" w:cs="仿宋"/>
          <w:color w:val="auto"/>
          <w:kern w:val="44"/>
          <w:sz w:val="28"/>
          <w:szCs w:val="28"/>
          <w:highlight w:val="none"/>
          <w:lang w:val="en-US" w:eastAsia="zh-CN" w:bidi="ar-SA"/>
        </w:rPr>
        <w:fldChar w:fldCharType="end"/>
      </w:r>
    </w:p>
    <w:p>
      <w:pPr>
        <w:pStyle w:val="20"/>
        <w:tabs>
          <w:tab w:val="right" w:leader="dot" w:pos="8930"/>
        </w:tabs>
        <w:rPr>
          <w:rFonts w:hint="eastAsia" w:ascii="仿宋" w:hAnsi="仿宋" w:eastAsia="仿宋" w:cs="仿宋"/>
          <w:color w:val="auto"/>
          <w:kern w:val="44"/>
          <w:sz w:val="28"/>
          <w:szCs w:val="28"/>
          <w:highlight w:val="none"/>
          <w:lang w:val="en-US" w:eastAsia="zh-CN" w:bidi="ar-SA"/>
        </w:rPr>
      </w:pP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HYPERLINK \l _Toc18264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一.气源保障</w:t>
      </w:r>
      <w:r>
        <w:rPr>
          <w:rFonts w:hint="eastAsia" w:ascii="仿宋" w:hAnsi="仿宋" w:eastAsia="仿宋" w:cs="仿宋"/>
          <w:color w:val="auto"/>
          <w:kern w:val="44"/>
          <w:sz w:val="28"/>
          <w:szCs w:val="28"/>
          <w:highlight w:val="none"/>
          <w:lang w:val="en-US" w:eastAsia="zh-CN" w:bidi="ar-SA"/>
        </w:rPr>
        <w:tab/>
      </w: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PAGEREF _Toc18264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9</w:t>
      </w:r>
      <w:r>
        <w:rPr>
          <w:rFonts w:hint="eastAsia" w:ascii="仿宋" w:hAnsi="仿宋" w:eastAsia="仿宋" w:cs="仿宋"/>
          <w:color w:val="auto"/>
          <w:kern w:val="44"/>
          <w:sz w:val="28"/>
          <w:szCs w:val="28"/>
          <w:highlight w:val="none"/>
          <w:lang w:val="en-US" w:eastAsia="zh-CN" w:bidi="ar-SA"/>
        </w:rPr>
        <w:fldChar w:fldCharType="end"/>
      </w:r>
      <w:r>
        <w:rPr>
          <w:rFonts w:hint="eastAsia" w:ascii="仿宋" w:hAnsi="仿宋" w:eastAsia="仿宋" w:cs="仿宋"/>
          <w:color w:val="auto"/>
          <w:kern w:val="44"/>
          <w:sz w:val="28"/>
          <w:szCs w:val="28"/>
          <w:highlight w:val="none"/>
          <w:lang w:val="en-US" w:eastAsia="zh-CN" w:bidi="ar-SA"/>
        </w:rPr>
        <w:fldChar w:fldCharType="end"/>
      </w:r>
    </w:p>
    <w:p>
      <w:pPr>
        <w:pStyle w:val="20"/>
        <w:tabs>
          <w:tab w:val="right" w:leader="dot" w:pos="8930"/>
        </w:tabs>
        <w:rPr>
          <w:rFonts w:hint="eastAsia" w:ascii="仿宋" w:hAnsi="仿宋" w:eastAsia="仿宋" w:cs="仿宋"/>
          <w:color w:val="auto"/>
          <w:kern w:val="44"/>
          <w:sz w:val="28"/>
          <w:szCs w:val="28"/>
          <w:highlight w:val="none"/>
          <w:lang w:val="en-US" w:eastAsia="zh-CN" w:bidi="ar-SA"/>
        </w:rPr>
      </w:pP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HYPERLINK \l _Toc10760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二.产品质量</w:t>
      </w:r>
      <w:r>
        <w:rPr>
          <w:rFonts w:hint="eastAsia" w:ascii="仿宋" w:hAnsi="仿宋" w:eastAsia="仿宋" w:cs="仿宋"/>
          <w:color w:val="auto"/>
          <w:kern w:val="44"/>
          <w:sz w:val="28"/>
          <w:szCs w:val="28"/>
          <w:highlight w:val="none"/>
          <w:lang w:val="en-US" w:eastAsia="zh-CN" w:bidi="ar-SA"/>
        </w:rPr>
        <w:tab/>
      </w: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PAGEREF _Toc10760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9</w:t>
      </w:r>
      <w:r>
        <w:rPr>
          <w:rFonts w:hint="eastAsia" w:ascii="仿宋" w:hAnsi="仿宋" w:eastAsia="仿宋" w:cs="仿宋"/>
          <w:color w:val="auto"/>
          <w:kern w:val="44"/>
          <w:sz w:val="28"/>
          <w:szCs w:val="28"/>
          <w:highlight w:val="none"/>
          <w:lang w:val="en-US" w:eastAsia="zh-CN" w:bidi="ar-SA"/>
        </w:rPr>
        <w:fldChar w:fldCharType="end"/>
      </w:r>
      <w:r>
        <w:rPr>
          <w:rFonts w:hint="eastAsia" w:ascii="仿宋" w:hAnsi="仿宋" w:eastAsia="仿宋" w:cs="仿宋"/>
          <w:color w:val="auto"/>
          <w:kern w:val="44"/>
          <w:sz w:val="28"/>
          <w:szCs w:val="28"/>
          <w:highlight w:val="none"/>
          <w:lang w:val="en-US" w:eastAsia="zh-CN" w:bidi="ar-SA"/>
        </w:rPr>
        <w:fldChar w:fldCharType="end"/>
      </w:r>
    </w:p>
    <w:p>
      <w:pPr>
        <w:pStyle w:val="20"/>
        <w:tabs>
          <w:tab w:val="right" w:leader="dot" w:pos="8930"/>
        </w:tabs>
        <w:rPr>
          <w:rFonts w:hint="eastAsia" w:ascii="仿宋" w:hAnsi="仿宋" w:eastAsia="仿宋" w:cs="仿宋"/>
          <w:color w:val="auto"/>
          <w:kern w:val="44"/>
          <w:sz w:val="28"/>
          <w:szCs w:val="28"/>
          <w:highlight w:val="none"/>
          <w:lang w:val="en-US" w:eastAsia="zh-CN" w:bidi="ar-SA"/>
        </w:rPr>
      </w:pP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HYPERLINK \l _Toc30715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三.服务标准</w:t>
      </w:r>
      <w:r>
        <w:rPr>
          <w:rFonts w:hint="eastAsia" w:ascii="仿宋" w:hAnsi="仿宋" w:eastAsia="仿宋" w:cs="仿宋"/>
          <w:color w:val="auto"/>
          <w:kern w:val="44"/>
          <w:sz w:val="28"/>
          <w:szCs w:val="28"/>
          <w:highlight w:val="none"/>
          <w:lang w:val="en-US" w:eastAsia="zh-CN" w:bidi="ar-SA"/>
        </w:rPr>
        <w:tab/>
      </w: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PAGEREF _Toc30715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10</w:t>
      </w:r>
      <w:r>
        <w:rPr>
          <w:rFonts w:hint="eastAsia" w:ascii="仿宋" w:hAnsi="仿宋" w:eastAsia="仿宋" w:cs="仿宋"/>
          <w:color w:val="auto"/>
          <w:kern w:val="44"/>
          <w:sz w:val="28"/>
          <w:szCs w:val="28"/>
          <w:highlight w:val="none"/>
          <w:lang w:val="en-US" w:eastAsia="zh-CN" w:bidi="ar-SA"/>
        </w:rPr>
        <w:fldChar w:fldCharType="end"/>
      </w:r>
      <w:r>
        <w:rPr>
          <w:rFonts w:hint="eastAsia" w:ascii="仿宋" w:hAnsi="仿宋" w:eastAsia="仿宋" w:cs="仿宋"/>
          <w:color w:val="auto"/>
          <w:kern w:val="44"/>
          <w:sz w:val="28"/>
          <w:szCs w:val="28"/>
          <w:highlight w:val="none"/>
          <w:lang w:val="en-US" w:eastAsia="zh-CN" w:bidi="ar-SA"/>
        </w:rPr>
        <w:fldChar w:fldCharType="end"/>
      </w:r>
    </w:p>
    <w:p>
      <w:pPr>
        <w:pStyle w:val="20"/>
        <w:tabs>
          <w:tab w:val="right" w:leader="dot" w:pos="8930"/>
        </w:tabs>
        <w:rPr>
          <w:rFonts w:hint="eastAsia" w:ascii="仿宋" w:hAnsi="仿宋" w:eastAsia="仿宋" w:cs="仿宋"/>
          <w:color w:val="auto"/>
          <w:kern w:val="44"/>
          <w:sz w:val="28"/>
          <w:szCs w:val="28"/>
          <w:highlight w:val="none"/>
          <w:lang w:val="en-US" w:eastAsia="zh-CN" w:bidi="ar-SA"/>
        </w:rPr>
      </w:pP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HYPERLINK \l _Toc14670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四.供气安全</w:t>
      </w:r>
      <w:r>
        <w:rPr>
          <w:rFonts w:hint="eastAsia" w:ascii="仿宋" w:hAnsi="仿宋" w:eastAsia="仿宋" w:cs="仿宋"/>
          <w:color w:val="auto"/>
          <w:kern w:val="44"/>
          <w:sz w:val="28"/>
          <w:szCs w:val="28"/>
          <w:highlight w:val="none"/>
          <w:lang w:val="en-US" w:eastAsia="zh-CN" w:bidi="ar-SA"/>
        </w:rPr>
        <w:tab/>
      </w: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PAGEREF _Toc14670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10</w:t>
      </w:r>
      <w:r>
        <w:rPr>
          <w:rFonts w:hint="eastAsia" w:ascii="仿宋" w:hAnsi="仿宋" w:eastAsia="仿宋" w:cs="仿宋"/>
          <w:color w:val="auto"/>
          <w:kern w:val="44"/>
          <w:sz w:val="28"/>
          <w:szCs w:val="28"/>
          <w:highlight w:val="none"/>
          <w:lang w:val="en-US" w:eastAsia="zh-CN" w:bidi="ar-SA"/>
        </w:rPr>
        <w:fldChar w:fldCharType="end"/>
      </w:r>
      <w:r>
        <w:rPr>
          <w:rFonts w:hint="eastAsia" w:ascii="仿宋" w:hAnsi="仿宋" w:eastAsia="仿宋" w:cs="仿宋"/>
          <w:color w:val="auto"/>
          <w:kern w:val="44"/>
          <w:sz w:val="28"/>
          <w:szCs w:val="28"/>
          <w:highlight w:val="none"/>
          <w:lang w:val="en-US" w:eastAsia="zh-CN" w:bidi="ar-SA"/>
        </w:rPr>
        <w:fldChar w:fldCharType="end"/>
      </w:r>
    </w:p>
    <w:p>
      <w:pPr>
        <w:pStyle w:val="20"/>
        <w:tabs>
          <w:tab w:val="right" w:leader="dot" w:pos="8930"/>
        </w:tabs>
        <w:rPr>
          <w:rFonts w:hint="eastAsia" w:ascii="仿宋" w:hAnsi="仿宋" w:eastAsia="仿宋" w:cs="仿宋"/>
          <w:color w:val="auto"/>
          <w:kern w:val="44"/>
          <w:sz w:val="28"/>
          <w:szCs w:val="28"/>
          <w:highlight w:val="none"/>
          <w:lang w:val="en-US" w:eastAsia="zh-CN" w:bidi="ar-SA"/>
        </w:rPr>
      </w:pP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HYPERLINK \l _Toc3138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七.产品与服务价格</w:t>
      </w:r>
      <w:r>
        <w:rPr>
          <w:rFonts w:hint="eastAsia" w:ascii="仿宋" w:hAnsi="仿宋" w:eastAsia="仿宋" w:cs="仿宋"/>
          <w:color w:val="auto"/>
          <w:kern w:val="44"/>
          <w:sz w:val="28"/>
          <w:szCs w:val="28"/>
          <w:highlight w:val="none"/>
          <w:lang w:val="en-US" w:eastAsia="zh-CN" w:bidi="ar-SA"/>
        </w:rPr>
        <w:tab/>
      </w: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PAGEREF _Toc3138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11</w:t>
      </w:r>
      <w:r>
        <w:rPr>
          <w:rFonts w:hint="eastAsia" w:ascii="仿宋" w:hAnsi="仿宋" w:eastAsia="仿宋" w:cs="仿宋"/>
          <w:color w:val="auto"/>
          <w:kern w:val="44"/>
          <w:sz w:val="28"/>
          <w:szCs w:val="28"/>
          <w:highlight w:val="none"/>
          <w:lang w:val="en-US" w:eastAsia="zh-CN" w:bidi="ar-SA"/>
        </w:rPr>
        <w:fldChar w:fldCharType="end"/>
      </w:r>
      <w:r>
        <w:rPr>
          <w:rFonts w:hint="eastAsia" w:ascii="仿宋" w:hAnsi="仿宋" w:eastAsia="仿宋" w:cs="仿宋"/>
          <w:color w:val="auto"/>
          <w:kern w:val="44"/>
          <w:sz w:val="28"/>
          <w:szCs w:val="28"/>
          <w:highlight w:val="none"/>
          <w:lang w:val="en-US" w:eastAsia="zh-CN" w:bidi="ar-SA"/>
        </w:rPr>
        <w:fldChar w:fldCharType="end"/>
      </w:r>
    </w:p>
    <w:p>
      <w:pPr>
        <w:pStyle w:val="20"/>
        <w:tabs>
          <w:tab w:val="right" w:leader="dot" w:pos="8930"/>
        </w:tabs>
        <w:rPr>
          <w:rFonts w:hint="eastAsia" w:ascii="仿宋" w:hAnsi="仿宋" w:eastAsia="仿宋" w:cs="仿宋"/>
          <w:color w:val="auto"/>
          <w:kern w:val="44"/>
          <w:sz w:val="28"/>
          <w:szCs w:val="28"/>
          <w:highlight w:val="none"/>
          <w:lang w:val="en-US" w:eastAsia="zh-CN" w:bidi="ar-SA"/>
        </w:rPr>
      </w:pP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HYPERLINK \l _Toc17739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八.土地使用权</w:t>
      </w:r>
      <w:r>
        <w:rPr>
          <w:rFonts w:hint="eastAsia" w:ascii="仿宋" w:hAnsi="仿宋" w:eastAsia="仿宋" w:cs="仿宋"/>
          <w:color w:val="auto"/>
          <w:kern w:val="44"/>
          <w:sz w:val="28"/>
          <w:szCs w:val="28"/>
          <w:highlight w:val="none"/>
          <w:lang w:val="en-US" w:eastAsia="zh-CN" w:bidi="ar-SA"/>
        </w:rPr>
        <w:tab/>
      </w: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PAGEREF _Toc17739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12</w:t>
      </w:r>
      <w:r>
        <w:rPr>
          <w:rFonts w:hint="eastAsia" w:ascii="仿宋" w:hAnsi="仿宋" w:eastAsia="仿宋" w:cs="仿宋"/>
          <w:color w:val="auto"/>
          <w:kern w:val="44"/>
          <w:sz w:val="28"/>
          <w:szCs w:val="28"/>
          <w:highlight w:val="none"/>
          <w:lang w:val="en-US" w:eastAsia="zh-CN" w:bidi="ar-SA"/>
        </w:rPr>
        <w:fldChar w:fldCharType="end"/>
      </w:r>
      <w:r>
        <w:rPr>
          <w:rFonts w:hint="eastAsia" w:ascii="仿宋" w:hAnsi="仿宋" w:eastAsia="仿宋" w:cs="仿宋"/>
          <w:color w:val="auto"/>
          <w:kern w:val="44"/>
          <w:sz w:val="28"/>
          <w:szCs w:val="28"/>
          <w:highlight w:val="none"/>
          <w:lang w:val="en-US" w:eastAsia="zh-CN" w:bidi="ar-SA"/>
        </w:rPr>
        <w:fldChar w:fldCharType="end"/>
      </w:r>
    </w:p>
    <w:p>
      <w:pPr>
        <w:pStyle w:val="20"/>
        <w:tabs>
          <w:tab w:val="right" w:leader="dot" w:pos="8930"/>
        </w:tabs>
        <w:rPr>
          <w:rFonts w:hint="eastAsia" w:ascii="仿宋" w:hAnsi="仿宋" w:eastAsia="仿宋" w:cs="仿宋"/>
          <w:color w:val="auto"/>
          <w:kern w:val="44"/>
          <w:sz w:val="28"/>
          <w:szCs w:val="28"/>
          <w:highlight w:val="none"/>
          <w:lang w:val="en-US" w:eastAsia="zh-CN" w:bidi="ar-SA"/>
        </w:rPr>
      </w:pP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HYPERLINK \l _Toc24686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九.燃气设施建设与改造</w:t>
      </w:r>
      <w:r>
        <w:rPr>
          <w:rFonts w:hint="eastAsia" w:ascii="仿宋" w:hAnsi="仿宋" w:eastAsia="仿宋" w:cs="仿宋"/>
          <w:color w:val="auto"/>
          <w:kern w:val="44"/>
          <w:sz w:val="28"/>
          <w:szCs w:val="28"/>
          <w:highlight w:val="none"/>
          <w:lang w:val="en-US" w:eastAsia="zh-CN" w:bidi="ar-SA"/>
        </w:rPr>
        <w:tab/>
      </w: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PAGEREF _Toc24686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12</w:t>
      </w:r>
      <w:r>
        <w:rPr>
          <w:rFonts w:hint="eastAsia" w:ascii="仿宋" w:hAnsi="仿宋" w:eastAsia="仿宋" w:cs="仿宋"/>
          <w:color w:val="auto"/>
          <w:kern w:val="44"/>
          <w:sz w:val="28"/>
          <w:szCs w:val="28"/>
          <w:highlight w:val="none"/>
          <w:lang w:val="en-US" w:eastAsia="zh-CN" w:bidi="ar-SA"/>
        </w:rPr>
        <w:fldChar w:fldCharType="end"/>
      </w:r>
      <w:r>
        <w:rPr>
          <w:rFonts w:hint="eastAsia" w:ascii="仿宋" w:hAnsi="仿宋" w:eastAsia="仿宋" w:cs="仿宋"/>
          <w:color w:val="auto"/>
          <w:kern w:val="44"/>
          <w:sz w:val="28"/>
          <w:szCs w:val="28"/>
          <w:highlight w:val="none"/>
          <w:lang w:val="en-US" w:eastAsia="zh-CN" w:bidi="ar-SA"/>
        </w:rPr>
        <w:fldChar w:fldCharType="end"/>
      </w:r>
    </w:p>
    <w:p>
      <w:pPr>
        <w:pStyle w:val="20"/>
        <w:tabs>
          <w:tab w:val="right" w:leader="dot" w:pos="8930"/>
        </w:tabs>
        <w:rPr>
          <w:rFonts w:hint="eastAsia" w:ascii="仿宋" w:hAnsi="仿宋" w:eastAsia="仿宋" w:cs="仿宋"/>
          <w:color w:val="auto"/>
          <w:kern w:val="44"/>
          <w:sz w:val="28"/>
          <w:szCs w:val="28"/>
          <w:highlight w:val="none"/>
          <w:lang w:val="en-US" w:eastAsia="zh-CN" w:bidi="ar-SA"/>
        </w:rPr>
      </w:pP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HYPERLINK \l _Toc26751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十.特许经营权费用</w:t>
      </w:r>
      <w:r>
        <w:rPr>
          <w:rFonts w:hint="eastAsia" w:ascii="仿宋" w:hAnsi="仿宋" w:eastAsia="仿宋" w:cs="仿宋"/>
          <w:color w:val="auto"/>
          <w:kern w:val="44"/>
          <w:sz w:val="28"/>
          <w:szCs w:val="28"/>
          <w:highlight w:val="none"/>
          <w:lang w:val="en-US" w:eastAsia="zh-CN" w:bidi="ar-SA"/>
        </w:rPr>
        <w:tab/>
      </w: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PAGEREF _Toc26751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12</w:t>
      </w:r>
      <w:r>
        <w:rPr>
          <w:rFonts w:hint="eastAsia" w:ascii="仿宋" w:hAnsi="仿宋" w:eastAsia="仿宋" w:cs="仿宋"/>
          <w:color w:val="auto"/>
          <w:kern w:val="44"/>
          <w:sz w:val="28"/>
          <w:szCs w:val="28"/>
          <w:highlight w:val="none"/>
          <w:lang w:val="en-US" w:eastAsia="zh-CN" w:bidi="ar-SA"/>
        </w:rPr>
        <w:fldChar w:fldCharType="end"/>
      </w:r>
      <w:r>
        <w:rPr>
          <w:rFonts w:hint="eastAsia" w:ascii="仿宋" w:hAnsi="仿宋" w:eastAsia="仿宋" w:cs="仿宋"/>
          <w:color w:val="auto"/>
          <w:kern w:val="44"/>
          <w:sz w:val="28"/>
          <w:szCs w:val="28"/>
          <w:highlight w:val="none"/>
          <w:lang w:val="en-US" w:eastAsia="zh-CN" w:bidi="ar-SA"/>
        </w:rPr>
        <w:fldChar w:fldCharType="end"/>
      </w:r>
    </w:p>
    <w:p>
      <w:pPr>
        <w:pStyle w:val="17"/>
        <w:tabs>
          <w:tab w:val="right" w:leader="dot" w:pos="8930"/>
        </w:tabs>
        <w:rPr>
          <w:rFonts w:hint="eastAsia" w:ascii="仿宋" w:hAnsi="仿宋" w:eastAsia="仿宋" w:cs="仿宋"/>
          <w:color w:val="auto"/>
          <w:kern w:val="44"/>
          <w:sz w:val="28"/>
          <w:szCs w:val="28"/>
          <w:highlight w:val="none"/>
          <w:lang w:val="en-US" w:eastAsia="zh-CN" w:bidi="ar-SA"/>
        </w:rPr>
      </w:pP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HYPERLINK \l _Toc32596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第四章 项目投资回报、价格及其测算</w:t>
      </w:r>
      <w:r>
        <w:rPr>
          <w:rFonts w:hint="eastAsia" w:ascii="仿宋" w:hAnsi="仿宋" w:eastAsia="仿宋" w:cs="仿宋"/>
          <w:color w:val="auto"/>
          <w:kern w:val="44"/>
          <w:sz w:val="28"/>
          <w:szCs w:val="28"/>
          <w:highlight w:val="none"/>
          <w:lang w:val="en-US" w:eastAsia="zh-CN" w:bidi="ar-SA"/>
        </w:rPr>
        <w:tab/>
      </w: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PAGEREF _Toc32596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13</w:t>
      </w:r>
      <w:r>
        <w:rPr>
          <w:rFonts w:hint="eastAsia" w:ascii="仿宋" w:hAnsi="仿宋" w:eastAsia="仿宋" w:cs="仿宋"/>
          <w:color w:val="auto"/>
          <w:kern w:val="44"/>
          <w:sz w:val="28"/>
          <w:szCs w:val="28"/>
          <w:highlight w:val="none"/>
          <w:lang w:val="en-US" w:eastAsia="zh-CN" w:bidi="ar-SA"/>
        </w:rPr>
        <w:fldChar w:fldCharType="end"/>
      </w:r>
      <w:r>
        <w:rPr>
          <w:rFonts w:hint="eastAsia" w:ascii="仿宋" w:hAnsi="仿宋" w:eastAsia="仿宋" w:cs="仿宋"/>
          <w:color w:val="auto"/>
          <w:kern w:val="44"/>
          <w:sz w:val="28"/>
          <w:szCs w:val="28"/>
          <w:highlight w:val="none"/>
          <w:lang w:val="en-US" w:eastAsia="zh-CN" w:bidi="ar-SA"/>
        </w:rPr>
        <w:fldChar w:fldCharType="end"/>
      </w:r>
    </w:p>
    <w:p>
      <w:pPr>
        <w:pStyle w:val="20"/>
        <w:tabs>
          <w:tab w:val="right" w:leader="dot" w:pos="8930"/>
        </w:tabs>
        <w:rPr>
          <w:rFonts w:hint="eastAsia" w:ascii="仿宋" w:hAnsi="仿宋" w:eastAsia="仿宋" w:cs="仿宋"/>
          <w:color w:val="auto"/>
          <w:kern w:val="44"/>
          <w:sz w:val="28"/>
          <w:szCs w:val="28"/>
          <w:highlight w:val="none"/>
          <w:lang w:val="en-US" w:eastAsia="zh-CN" w:bidi="ar-SA"/>
        </w:rPr>
      </w:pP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HYPERLINK \l _Toc15214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一．概述</w:t>
      </w:r>
      <w:r>
        <w:rPr>
          <w:rFonts w:hint="eastAsia" w:ascii="仿宋" w:hAnsi="仿宋" w:eastAsia="仿宋" w:cs="仿宋"/>
          <w:color w:val="auto"/>
          <w:kern w:val="44"/>
          <w:sz w:val="28"/>
          <w:szCs w:val="28"/>
          <w:highlight w:val="none"/>
          <w:lang w:val="en-US" w:eastAsia="zh-CN" w:bidi="ar-SA"/>
        </w:rPr>
        <w:tab/>
      </w: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PAGEREF _Toc15214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13</w:t>
      </w:r>
      <w:r>
        <w:rPr>
          <w:rFonts w:hint="eastAsia" w:ascii="仿宋" w:hAnsi="仿宋" w:eastAsia="仿宋" w:cs="仿宋"/>
          <w:color w:val="auto"/>
          <w:kern w:val="44"/>
          <w:sz w:val="28"/>
          <w:szCs w:val="28"/>
          <w:highlight w:val="none"/>
          <w:lang w:val="en-US" w:eastAsia="zh-CN" w:bidi="ar-SA"/>
        </w:rPr>
        <w:fldChar w:fldCharType="end"/>
      </w:r>
      <w:r>
        <w:rPr>
          <w:rFonts w:hint="eastAsia" w:ascii="仿宋" w:hAnsi="仿宋" w:eastAsia="仿宋" w:cs="仿宋"/>
          <w:color w:val="auto"/>
          <w:kern w:val="44"/>
          <w:sz w:val="28"/>
          <w:szCs w:val="28"/>
          <w:highlight w:val="none"/>
          <w:lang w:val="en-US" w:eastAsia="zh-CN" w:bidi="ar-SA"/>
        </w:rPr>
        <w:fldChar w:fldCharType="end"/>
      </w:r>
    </w:p>
    <w:p>
      <w:pPr>
        <w:pStyle w:val="20"/>
        <w:tabs>
          <w:tab w:val="right" w:leader="dot" w:pos="8930"/>
        </w:tabs>
        <w:rPr>
          <w:rFonts w:hint="eastAsia" w:ascii="仿宋" w:hAnsi="仿宋" w:eastAsia="仿宋" w:cs="仿宋"/>
          <w:color w:val="auto"/>
          <w:kern w:val="44"/>
          <w:sz w:val="28"/>
          <w:szCs w:val="28"/>
          <w:highlight w:val="none"/>
          <w:lang w:val="en-US" w:eastAsia="zh-CN" w:bidi="ar-SA"/>
        </w:rPr>
      </w:pP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HYPERLINK \l _Toc7237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二.销售收入估算</w:t>
      </w:r>
      <w:r>
        <w:rPr>
          <w:rFonts w:hint="eastAsia" w:ascii="仿宋" w:hAnsi="仿宋" w:eastAsia="仿宋" w:cs="仿宋"/>
          <w:color w:val="auto"/>
          <w:kern w:val="44"/>
          <w:sz w:val="28"/>
          <w:szCs w:val="28"/>
          <w:highlight w:val="none"/>
          <w:lang w:val="en-US" w:eastAsia="zh-CN" w:bidi="ar-SA"/>
        </w:rPr>
        <w:tab/>
      </w: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PAGEREF _Toc7237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14</w:t>
      </w:r>
      <w:r>
        <w:rPr>
          <w:rFonts w:hint="eastAsia" w:ascii="仿宋" w:hAnsi="仿宋" w:eastAsia="仿宋" w:cs="仿宋"/>
          <w:color w:val="auto"/>
          <w:kern w:val="44"/>
          <w:sz w:val="28"/>
          <w:szCs w:val="28"/>
          <w:highlight w:val="none"/>
          <w:lang w:val="en-US" w:eastAsia="zh-CN" w:bidi="ar-SA"/>
        </w:rPr>
        <w:fldChar w:fldCharType="end"/>
      </w:r>
      <w:r>
        <w:rPr>
          <w:rFonts w:hint="eastAsia" w:ascii="仿宋" w:hAnsi="仿宋" w:eastAsia="仿宋" w:cs="仿宋"/>
          <w:color w:val="auto"/>
          <w:kern w:val="44"/>
          <w:sz w:val="28"/>
          <w:szCs w:val="28"/>
          <w:highlight w:val="none"/>
          <w:lang w:val="en-US" w:eastAsia="zh-CN" w:bidi="ar-SA"/>
        </w:rPr>
        <w:fldChar w:fldCharType="end"/>
      </w:r>
    </w:p>
    <w:p>
      <w:pPr>
        <w:pStyle w:val="20"/>
        <w:tabs>
          <w:tab w:val="right" w:leader="dot" w:pos="8930"/>
        </w:tabs>
        <w:rPr>
          <w:rFonts w:hint="eastAsia" w:ascii="仿宋" w:hAnsi="仿宋" w:eastAsia="仿宋" w:cs="仿宋"/>
          <w:color w:val="auto"/>
          <w:kern w:val="44"/>
          <w:sz w:val="28"/>
          <w:szCs w:val="28"/>
          <w:highlight w:val="none"/>
          <w:lang w:val="en-US" w:eastAsia="zh-CN" w:bidi="ar-SA"/>
        </w:rPr>
      </w:pP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HYPERLINK \l _Toc13697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三.成本费用估算</w:t>
      </w:r>
      <w:r>
        <w:rPr>
          <w:rFonts w:hint="eastAsia" w:ascii="仿宋" w:hAnsi="仿宋" w:eastAsia="仿宋" w:cs="仿宋"/>
          <w:color w:val="auto"/>
          <w:kern w:val="44"/>
          <w:sz w:val="28"/>
          <w:szCs w:val="28"/>
          <w:highlight w:val="none"/>
          <w:lang w:val="en-US" w:eastAsia="zh-CN" w:bidi="ar-SA"/>
        </w:rPr>
        <w:tab/>
      </w: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PAGEREF _Toc13697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15</w:t>
      </w:r>
      <w:r>
        <w:rPr>
          <w:rFonts w:hint="eastAsia" w:ascii="仿宋" w:hAnsi="仿宋" w:eastAsia="仿宋" w:cs="仿宋"/>
          <w:color w:val="auto"/>
          <w:kern w:val="44"/>
          <w:sz w:val="28"/>
          <w:szCs w:val="28"/>
          <w:highlight w:val="none"/>
          <w:lang w:val="en-US" w:eastAsia="zh-CN" w:bidi="ar-SA"/>
        </w:rPr>
        <w:fldChar w:fldCharType="end"/>
      </w:r>
      <w:r>
        <w:rPr>
          <w:rFonts w:hint="eastAsia" w:ascii="仿宋" w:hAnsi="仿宋" w:eastAsia="仿宋" w:cs="仿宋"/>
          <w:color w:val="auto"/>
          <w:kern w:val="44"/>
          <w:sz w:val="28"/>
          <w:szCs w:val="28"/>
          <w:highlight w:val="none"/>
          <w:lang w:val="en-US" w:eastAsia="zh-CN" w:bidi="ar-SA"/>
        </w:rPr>
        <w:fldChar w:fldCharType="end"/>
      </w:r>
    </w:p>
    <w:p>
      <w:pPr>
        <w:pStyle w:val="20"/>
        <w:tabs>
          <w:tab w:val="right" w:leader="dot" w:pos="8930"/>
        </w:tabs>
        <w:rPr>
          <w:rFonts w:hint="eastAsia" w:ascii="仿宋" w:hAnsi="仿宋" w:eastAsia="仿宋" w:cs="仿宋"/>
          <w:color w:val="auto"/>
          <w:kern w:val="44"/>
          <w:sz w:val="28"/>
          <w:szCs w:val="28"/>
          <w:highlight w:val="none"/>
          <w:lang w:val="en-US" w:eastAsia="zh-CN" w:bidi="ar-SA"/>
        </w:rPr>
      </w:pP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HYPERLINK \l _Toc1274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四.利润总额及分配</w:t>
      </w:r>
      <w:r>
        <w:rPr>
          <w:rFonts w:hint="eastAsia" w:ascii="仿宋" w:hAnsi="仿宋" w:eastAsia="仿宋" w:cs="仿宋"/>
          <w:color w:val="auto"/>
          <w:kern w:val="44"/>
          <w:sz w:val="28"/>
          <w:szCs w:val="28"/>
          <w:highlight w:val="none"/>
          <w:lang w:val="en-US" w:eastAsia="zh-CN" w:bidi="ar-SA"/>
        </w:rPr>
        <w:tab/>
      </w: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PAGEREF _Toc1274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17</w:t>
      </w:r>
      <w:r>
        <w:rPr>
          <w:rFonts w:hint="eastAsia" w:ascii="仿宋" w:hAnsi="仿宋" w:eastAsia="仿宋" w:cs="仿宋"/>
          <w:color w:val="auto"/>
          <w:kern w:val="44"/>
          <w:sz w:val="28"/>
          <w:szCs w:val="28"/>
          <w:highlight w:val="none"/>
          <w:lang w:val="en-US" w:eastAsia="zh-CN" w:bidi="ar-SA"/>
        </w:rPr>
        <w:fldChar w:fldCharType="end"/>
      </w:r>
      <w:r>
        <w:rPr>
          <w:rFonts w:hint="eastAsia" w:ascii="仿宋" w:hAnsi="仿宋" w:eastAsia="仿宋" w:cs="仿宋"/>
          <w:color w:val="auto"/>
          <w:kern w:val="44"/>
          <w:sz w:val="28"/>
          <w:szCs w:val="28"/>
          <w:highlight w:val="none"/>
          <w:lang w:val="en-US" w:eastAsia="zh-CN" w:bidi="ar-SA"/>
        </w:rPr>
        <w:fldChar w:fldCharType="end"/>
      </w:r>
    </w:p>
    <w:p>
      <w:pPr>
        <w:pStyle w:val="20"/>
        <w:tabs>
          <w:tab w:val="right" w:leader="dot" w:pos="8930"/>
        </w:tabs>
        <w:rPr>
          <w:rFonts w:hint="eastAsia" w:ascii="仿宋" w:hAnsi="仿宋" w:eastAsia="仿宋" w:cs="仿宋"/>
          <w:color w:val="auto"/>
          <w:kern w:val="44"/>
          <w:sz w:val="28"/>
          <w:szCs w:val="28"/>
          <w:highlight w:val="none"/>
          <w:lang w:val="en-US" w:eastAsia="zh-CN" w:bidi="ar-SA"/>
        </w:rPr>
      </w:pP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HYPERLINK \l _Toc6583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五.财务盈利能力分析</w:t>
      </w:r>
      <w:r>
        <w:rPr>
          <w:rFonts w:hint="eastAsia" w:ascii="仿宋" w:hAnsi="仿宋" w:eastAsia="仿宋" w:cs="仿宋"/>
          <w:color w:val="auto"/>
          <w:kern w:val="44"/>
          <w:sz w:val="28"/>
          <w:szCs w:val="28"/>
          <w:highlight w:val="none"/>
          <w:lang w:val="en-US" w:eastAsia="zh-CN" w:bidi="ar-SA"/>
        </w:rPr>
        <w:tab/>
      </w: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PAGEREF _Toc6583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17</w:t>
      </w:r>
      <w:r>
        <w:rPr>
          <w:rFonts w:hint="eastAsia" w:ascii="仿宋" w:hAnsi="仿宋" w:eastAsia="仿宋" w:cs="仿宋"/>
          <w:color w:val="auto"/>
          <w:kern w:val="44"/>
          <w:sz w:val="28"/>
          <w:szCs w:val="28"/>
          <w:highlight w:val="none"/>
          <w:lang w:val="en-US" w:eastAsia="zh-CN" w:bidi="ar-SA"/>
        </w:rPr>
        <w:fldChar w:fldCharType="end"/>
      </w:r>
      <w:r>
        <w:rPr>
          <w:rFonts w:hint="eastAsia" w:ascii="仿宋" w:hAnsi="仿宋" w:eastAsia="仿宋" w:cs="仿宋"/>
          <w:color w:val="auto"/>
          <w:kern w:val="44"/>
          <w:sz w:val="28"/>
          <w:szCs w:val="28"/>
          <w:highlight w:val="none"/>
          <w:lang w:val="en-US" w:eastAsia="zh-CN" w:bidi="ar-SA"/>
        </w:rPr>
        <w:fldChar w:fldCharType="end"/>
      </w:r>
    </w:p>
    <w:p>
      <w:pPr>
        <w:pStyle w:val="17"/>
        <w:tabs>
          <w:tab w:val="right" w:leader="dot" w:pos="8930"/>
        </w:tabs>
        <w:rPr>
          <w:rFonts w:hint="eastAsia" w:ascii="仿宋" w:hAnsi="仿宋" w:eastAsia="仿宋" w:cs="仿宋"/>
          <w:color w:val="auto"/>
          <w:kern w:val="44"/>
          <w:sz w:val="28"/>
          <w:szCs w:val="28"/>
          <w:highlight w:val="none"/>
          <w:lang w:val="en-US" w:eastAsia="zh-CN" w:bidi="ar-SA"/>
        </w:rPr>
      </w:pP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HYPERLINK \l _Toc5112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第五章  特许经营协议框架草案</w:t>
      </w:r>
      <w:r>
        <w:rPr>
          <w:rFonts w:hint="eastAsia" w:ascii="仿宋" w:hAnsi="仿宋" w:eastAsia="仿宋" w:cs="仿宋"/>
          <w:color w:val="auto"/>
          <w:kern w:val="44"/>
          <w:sz w:val="28"/>
          <w:szCs w:val="28"/>
          <w:highlight w:val="none"/>
          <w:lang w:val="en-US" w:eastAsia="zh-CN" w:bidi="ar-SA"/>
        </w:rPr>
        <w:tab/>
      </w: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PAGEREF _Toc5112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19</w:t>
      </w:r>
      <w:r>
        <w:rPr>
          <w:rFonts w:hint="eastAsia" w:ascii="仿宋" w:hAnsi="仿宋" w:eastAsia="仿宋" w:cs="仿宋"/>
          <w:color w:val="auto"/>
          <w:kern w:val="44"/>
          <w:sz w:val="28"/>
          <w:szCs w:val="28"/>
          <w:highlight w:val="none"/>
          <w:lang w:val="en-US" w:eastAsia="zh-CN" w:bidi="ar-SA"/>
        </w:rPr>
        <w:fldChar w:fldCharType="end"/>
      </w:r>
      <w:r>
        <w:rPr>
          <w:rFonts w:hint="eastAsia" w:ascii="仿宋" w:hAnsi="仿宋" w:eastAsia="仿宋" w:cs="仿宋"/>
          <w:color w:val="auto"/>
          <w:kern w:val="44"/>
          <w:sz w:val="28"/>
          <w:szCs w:val="28"/>
          <w:highlight w:val="none"/>
          <w:lang w:val="en-US" w:eastAsia="zh-CN" w:bidi="ar-SA"/>
        </w:rPr>
        <w:fldChar w:fldCharType="end"/>
      </w:r>
    </w:p>
    <w:p>
      <w:pPr>
        <w:pStyle w:val="17"/>
        <w:tabs>
          <w:tab w:val="right" w:leader="dot" w:pos="8930"/>
        </w:tabs>
        <w:rPr>
          <w:rFonts w:hint="eastAsia" w:ascii="仿宋" w:hAnsi="仿宋" w:eastAsia="仿宋" w:cs="仿宋"/>
          <w:color w:val="auto"/>
          <w:kern w:val="44"/>
          <w:sz w:val="28"/>
          <w:szCs w:val="28"/>
          <w:highlight w:val="none"/>
          <w:lang w:val="en-US" w:eastAsia="zh-CN" w:bidi="ar-SA"/>
        </w:rPr>
      </w:pP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HYPERLINK \l _Toc30203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第六章  特许经营者应当具备的条件及选择方式</w:t>
      </w:r>
      <w:r>
        <w:rPr>
          <w:rFonts w:hint="eastAsia" w:ascii="仿宋" w:hAnsi="仿宋" w:eastAsia="仿宋" w:cs="仿宋"/>
          <w:color w:val="auto"/>
          <w:kern w:val="44"/>
          <w:sz w:val="28"/>
          <w:szCs w:val="28"/>
          <w:highlight w:val="none"/>
          <w:lang w:val="en-US" w:eastAsia="zh-CN" w:bidi="ar-SA"/>
        </w:rPr>
        <w:tab/>
      </w: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PAGEREF _Toc30203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35</w:t>
      </w:r>
      <w:r>
        <w:rPr>
          <w:rFonts w:hint="eastAsia" w:ascii="仿宋" w:hAnsi="仿宋" w:eastAsia="仿宋" w:cs="仿宋"/>
          <w:color w:val="auto"/>
          <w:kern w:val="44"/>
          <w:sz w:val="28"/>
          <w:szCs w:val="28"/>
          <w:highlight w:val="none"/>
          <w:lang w:val="en-US" w:eastAsia="zh-CN" w:bidi="ar-SA"/>
        </w:rPr>
        <w:fldChar w:fldCharType="end"/>
      </w:r>
      <w:r>
        <w:rPr>
          <w:rFonts w:hint="eastAsia" w:ascii="仿宋" w:hAnsi="仿宋" w:eastAsia="仿宋" w:cs="仿宋"/>
          <w:color w:val="auto"/>
          <w:kern w:val="44"/>
          <w:sz w:val="28"/>
          <w:szCs w:val="28"/>
          <w:highlight w:val="none"/>
          <w:lang w:val="en-US" w:eastAsia="zh-CN" w:bidi="ar-SA"/>
        </w:rPr>
        <w:fldChar w:fldCharType="end"/>
      </w:r>
    </w:p>
    <w:p>
      <w:pPr>
        <w:pStyle w:val="20"/>
        <w:tabs>
          <w:tab w:val="right" w:leader="dot" w:pos="8930"/>
        </w:tabs>
        <w:rPr>
          <w:rFonts w:hint="eastAsia" w:ascii="仿宋" w:hAnsi="仿宋" w:eastAsia="仿宋" w:cs="仿宋"/>
          <w:color w:val="auto"/>
          <w:kern w:val="44"/>
          <w:sz w:val="28"/>
          <w:szCs w:val="28"/>
          <w:highlight w:val="none"/>
          <w:lang w:val="en-US" w:eastAsia="zh-CN" w:bidi="ar-SA"/>
        </w:rPr>
      </w:pP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HYPERLINK \l _Toc12049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一.特许经营者条件</w:t>
      </w:r>
      <w:r>
        <w:rPr>
          <w:rFonts w:hint="eastAsia" w:ascii="仿宋" w:hAnsi="仿宋" w:eastAsia="仿宋" w:cs="仿宋"/>
          <w:color w:val="auto"/>
          <w:kern w:val="44"/>
          <w:sz w:val="28"/>
          <w:szCs w:val="28"/>
          <w:highlight w:val="none"/>
          <w:lang w:val="en-US" w:eastAsia="zh-CN" w:bidi="ar-SA"/>
        </w:rPr>
        <w:tab/>
      </w: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PAGEREF _Toc12049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35</w:t>
      </w:r>
      <w:r>
        <w:rPr>
          <w:rFonts w:hint="eastAsia" w:ascii="仿宋" w:hAnsi="仿宋" w:eastAsia="仿宋" w:cs="仿宋"/>
          <w:color w:val="auto"/>
          <w:kern w:val="44"/>
          <w:sz w:val="28"/>
          <w:szCs w:val="28"/>
          <w:highlight w:val="none"/>
          <w:lang w:val="en-US" w:eastAsia="zh-CN" w:bidi="ar-SA"/>
        </w:rPr>
        <w:fldChar w:fldCharType="end"/>
      </w:r>
      <w:r>
        <w:rPr>
          <w:rFonts w:hint="eastAsia" w:ascii="仿宋" w:hAnsi="仿宋" w:eastAsia="仿宋" w:cs="仿宋"/>
          <w:color w:val="auto"/>
          <w:kern w:val="44"/>
          <w:sz w:val="28"/>
          <w:szCs w:val="28"/>
          <w:highlight w:val="none"/>
          <w:lang w:val="en-US" w:eastAsia="zh-CN" w:bidi="ar-SA"/>
        </w:rPr>
        <w:fldChar w:fldCharType="end"/>
      </w:r>
    </w:p>
    <w:p>
      <w:pPr>
        <w:pStyle w:val="20"/>
        <w:tabs>
          <w:tab w:val="right" w:leader="dot" w:pos="8930"/>
        </w:tabs>
        <w:rPr>
          <w:rFonts w:hint="eastAsia" w:ascii="仿宋" w:hAnsi="仿宋" w:eastAsia="仿宋" w:cs="仿宋"/>
          <w:color w:val="auto"/>
          <w:kern w:val="44"/>
          <w:sz w:val="28"/>
          <w:szCs w:val="28"/>
          <w:highlight w:val="none"/>
          <w:lang w:val="en-US" w:eastAsia="zh-CN" w:bidi="ar-SA"/>
        </w:rPr>
      </w:pP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HYPERLINK \l _Toc12833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二.特许经营权者的选择方式</w:t>
      </w:r>
      <w:r>
        <w:rPr>
          <w:rFonts w:hint="eastAsia" w:ascii="仿宋" w:hAnsi="仿宋" w:eastAsia="仿宋" w:cs="仿宋"/>
          <w:color w:val="auto"/>
          <w:kern w:val="44"/>
          <w:sz w:val="28"/>
          <w:szCs w:val="28"/>
          <w:highlight w:val="none"/>
          <w:lang w:val="en-US" w:eastAsia="zh-CN" w:bidi="ar-SA"/>
        </w:rPr>
        <w:tab/>
      </w: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PAGEREF _Toc12833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35</w:t>
      </w:r>
      <w:r>
        <w:rPr>
          <w:rFonts w:hint="eastAsia" w:ascii="仿宋" w:hAnsi="仿宋" w:eastAsia="仿宋" w:cs="仿宋"/>
          <w:color w:val="auto"/>
          <w:kern w:val="44"/>
          <w:sz w:val="28"/>
          <w:szCs w:val="28"/>
          <w:highlight w:val="none"/>
          <w:lang w:val="en-US" w:eastAsia="zh-CN" w:bidi="ar-SA"/>
        </w:rPr>
        <w:fldChar w:fldCharType="end"/>
      </w:r>
      <w:r>
        <w:rPr>
          <w:rFonts w:hint="eastAsia" w:ascii="仿宋" w:hAnsi="仿宋" w:eastAsia="仿宋" w:cs="仿宋"/>
          <w:color w:val="auto"/>
          <w:kern w:val="44"/>
          <w:sz w:val="28"/>
          <w:szCs w:val="28"/>
          <w:highlight w:val="none"/>
          <w:lang w:val="en-US" w:eastAsia="zh-CN" w:bidi="ar-SA"/>
        </w:rPr>
        <w:fldChar w:fldCharType="end"/>
      </w:r>
    </w:p>
    <w:p>
      <w:pPr>
        <w:pStyle w:val="17"/>
        <w:tabs>
          <w:tab w:val="right" w:leader="dot" w:pos="8930"/>
        </w:tabs>
        <w:rPr>
          <w:rFonts w:hint="eastAsia" w:ascii="仿宋" w:hAnsi="仿宋" w:eastAsia="仿宋" w:cs="仿宋"/>
          <w:color w:val="auto"/>
          <w:kern w:val="44"/>
          <w:sz w:val="28"/>
          <w:szCs w:val="28"/>
          <w:highlight w:val="none"/>
          <w:lang w:val="en-US" w:eastAsia="zh-CN" w:bidi="ar-SA"/>
        </w:rPr>
      </w:pP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HYPERLINK \l _Toc31465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第七章  政府承诺和保障</w:t>
      </w:r>
      <w:r>
        <w:rPr>
          <w:rFonts w:hint="eastAsia" w:ascii="仿宋" w:hAnsi="仿宋" w:eastAsia="仿宋" w:cs="仿宋"/>
          <w:color w:val="auto"/>
          <w:kern w:val="44"/>
          <w:sz w:val="28"/>
          <w:szCs w:val="28"/>
          <w:highlight w:val="none"/>
          <w:lang w:val="en-US" w:eastAsia="zh-CN" w:bidi="ar-SA"/>
        </w:rPr>
        <w:tab/>
      </w: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PAGEREF _Toc31465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36</w:t>
      </w:r>
      <w:r>
        <w:rPr>
          <w:rFonts w:hint="eastAsia" w:ascii="仿宋" w:hAnsi="仿宋" w:eastAsia="仿宋" w:cs="仿宋"/>
          <w:color w:val="auto"/>
          <w:kern w:val="44"/>
          <w:sz w:val="28"/>
          <w:szCs w:val="28"/>
          <w:highlight w:val="none"/>
          <w:lang w:val="en-US" w:eastAsia="zh-CN" w:bidi="ar-SA"/>
        </w:rPr>
        <w:fldChar w:fldCharType="end"/>
      </w:r>
      <w:r>
        <w:rPr>
          <w:rFonts w:hint="eastAsia" w:ascii="仿宋" w:hAnsi="仿宋" w:eastAsia="仿宋" w:cs="仿宋"/>
          <w:color w:val="auto"/>
          <w:kern w:val="44"/>
          <w:sz w:val="28"/>
          <w:szCs w:val="28"/>
          <w:highlight w:val="none"/>
          <w:lang w:val="en-US" w:eastAsia="zh-CN" w:bidi="ar-SA"/>
        </w:rPr>
        <w:fldChar w:fldCharType="end"/>
      </w:r>
    </w:p>
    <w:p>
      <w:pPr>
        <w:pStyle w:val="17"/>
        <w:tabs>
          <w:tab w:val="right" w:leader="dot" w:pos="8930"/>
        </w:tabs>
        <w:rPr>
          <w:rFonts w:hint="eastAsia" w:ascii="仿宋" w:hAnsi="仿宋" w:eastAsia="仿宋" w:cs="仿宋"/>
          <w:color w:val="auto"/>
          <w:kern w:val="44"/>
          <w:sz w:val="28"/>
          <w:szCs w:val="28"/>
          <w:highlight w:val="none"/>
          <w:lang w:val="en-US" w:eastAsia="zh-CN" w:bidi="ar-SA"/>
        </w:rPr>
      </w:pP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HYPERLINK \l _Toc21463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第八章  特许经营期限届满后资产处置方式</w:t>
      </w:r>
      <w:r>
        <w:rPr>
          <w:rFonts w:hint="eastAsia" w:ascii="仿宋" w:hAnsi="仿宋" w:eastAsia="仿宋" w:cs="仿宋"/>
          <w:color w:val="auto"/>
          <w:kern w:val="44"/>
          <w:sz w:val="28"/>
          <w:szCs w:val="28"/>
          <w:highlight w:val="none"/>
          <w:lang w:val="en-US" w:eastAsia="zh-CN" w:bidi="ar-SA"/>
        </w:rPr>
        <w:tab/>
      </w: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PAGEREF _Toc21463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38</w:t>
      </w:r>
      <w:r>
        <w:rPr>
          <w:rFonts w:hint="eastAsia" w:ascii="仿宋" w:hAnsi="仿宋" w:eastAsia="仿宋" w:cs="仿宋"/>
          <w:color w:val="auto"/>
          <w:kern w:val="44"/>
          <w:sz w:val="28"/>
          <w:szCs w:val="28"/>
          <w:highlight w:val="none"/>
          <w:lang w:val="en-US" w:eastAsia="zh-CN" w:bidi="ar-SA"/>
        </w:rPr>
        <w:fldChar w:fldCharType="end"/>
      </w:r>
      <w:r>
        <w:rPr>
          <w:rFonts w:hint="eastAsia" w:ascii="仿宋" w:hAnsi="仿宋" w:eastAsia="仿宋" w:cs="仿宋"/>
          <w:color w:val="auto"/>
          <w:kern w:val="44"/>
          <w:sz w:val="28"/>
          <w:szCs w:val="28"/>
          <w:highlight w:val="none"/>
          <w:lang w:val="en-US" w:eastAsia="zh-CN" w:bidi="ar-SA"/>
        </w:rPr>
        <w:fldChar w:fldCharType="end"/>
      </w:r>
    </w:p>
    <w:p>
      <w:pPr>
        <w:pStyle w:val="20"/>
        <w:tabs>
          <w:tab w:val="right" w:leader="dot" w:pos="8930"/>
        </w:tabs>
        <w:rPr>
          <w:rFonts w:hint="eastAsia" w:ascii="仿宋" w:hAnsi="仿宋" w:eastAsia="仿宋" w:cs="仿宋"/>
          <w:color w:val="auto"/>
          <w:kern w:val="44"/>
          <w:sz w:val="28"/>
          <w:szCs w:val="28"/>
          <w:highlight w:val="none"/>
          <w:lang w:val="en-US" w:eastAsia="zh-CN" w:bidi="ar-SA"/>
        </w:rPr>
      </w:pP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HYPERLINK \l _Toc29609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zh-CN" w:eastAsia="zh-CN" w:bidi="ar-SA"/>
        </w:rPr>
        <w:t>一．资产移交补偿</w:t>
      </w:r>
      <w:r>
        <w:rPr>
          <w:rFonts w:hint="eastAsia" w:ascii="仿宋" w:hAnsi="仿宋" w:eastAsia="仿宋" w:cs="仿宋"/>
          <w:color w:val="auto"/>
          <w:kern w:val="44"/>
          <w:sz w:val="28"/>
          <w:szCs w:val="28"/>
          <w:highlight w:val="none"/>
          <w:lang w:val="en-US" w:eastAsia="zh-CN" w:bidi="ar-SA"/>
        </w:rPr>
        <w:tab/>
      </w: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PAGEREF _Toc29609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38</w:t>
      </w:r>
      <w:r>
        <w:rPr>
          <w:rFonts w:hint="eastAsia" w:ascii="仿宋" w:hAnsi="仿宋" w:eastAsia="仿宋" w:cs="仿宋"/>
          <w:color w:val="auto"/>
          <w:kern w:val="44"/>
          <w:sz w:val="28"/>
          <w:szCs w:val="28"/>
          <w:highlight w:val="none"/>
          <w:lang w:val="en-US" w:eastAsia="zh-CN" w:bidi="ar-SA"/>
        </w:rPr>
        <w:fldChar w:fldCharType="end"/>
      </w:r>
      <w:r>
        <w:rPr>
          <w:rFonts w:hint="eastAsia" w:ascii="仿宋" w:hAnsi="仿宋" w:eastAsia="仿宋" w:cs="仿宋"/>
          <w:color w:val="auto"/>
          <w:kern w:val="44"/>
          <w:sz w:val="28"/>
          <w:szCs w:val="28"/>
          <w:highlight w:val="none"/>
          <w:lang w:val="en-US" w:eastAsia="zh-CN" w:bidi="ar-SA"/>
        </w:rPr>
        <w:fldChar w:fldCharType="end"/>
      </w:r>
    </w:p>
    <w:p>
      <w:pPr>
        <w:pStyle w:val="20"/>
        <w:tabs>
          <w:tab w:val="right" w:leader="dot" w:pos="8930"/>
        </w:tabs>
        <w:rPr>
          <w:rFonts w:asciiTheme="minorHAnsi" w:hAnsiTheme="minorHAnsi" w:eastAsiaTheme="minorEastAsia" w:cstheme="minorBidi"/>
          <w:color w:val="auto"/>
          <w:kern w:val="44"/>
          <w:szCs w:val="24"/>
          <w:highlight w:val="none"/>
          <w:lang w:val="en-US" w:eastAsia="zh-CN" w:bidi="ar-SA"/>
        </w:rPr>
      </w:pP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HYPERLINK \l _Toc1804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zh-CN" w:eastAsia="zh-CN" w:bidi="ar-SA"/>
        </w:rPr>
        <w:t>二．资产移交办法</w:t>
      </w:r>
      <w:r>
        <w:rPr>
          <w:rFonts w:hint="eastAsia" w:ascii="仿宋" w:hAnsi="仿宋" w:eastAsia="仿宋" w:cs="仿宋"/>
          <w:color w:val="auto"/>
          <w:kern w:val="44"/>
          <w:sz w:val="28"/>
          <w:szCs w:val="28"/>
          <w:highlight w:val="none"/>
          <w:lang w:val="en-US" w:eastAsia="zh-CN" w:bidi="ar-SA"/>
        </w:rPr>
        <w:tab/>
      </w:r>
      <w:r>
        <w:rPr>
          <w:rFonts w:hint="eastAsia" w:ascii="仿宋" w:hAnsi="仿宋" w:eastAsia="仿宋" w:cs="仿宋"/>
          <w:color w:val="auto"/>
          <w:kern w:val="44"/>
          <w:sz w:val="28"/>
          <w:szCs w:val="28"/>
          <w:highlight w:val="none"/>
          <w:lang w:val="en-US" w:eastAsia="zh-CN" w:bidi="ar-SA"/>
        </w:rPr>
        <w:fldChar w:fldCharType="begin"/>
      </w:r>
      <w:r>
        <w:rPr>
          <w:rFonts w:hint="eastAsia" w:ascii="仿宋" w:hAnsi="仿宋" w:eastAsia="仿宋" w:cs="仿宋"/>
          <w:color w:val="auto"/>
          <w:kern w:val="44"/>
          <w:sz w:val="28"/>
          <w:szCs w:val="28"/>
          <w:highlight w:val="none"/>
          <w:lang w:val="en-US" w:eastAsia="zh-CN" w:bidi="ar-SA"/>
        </w:rPr>
        <w:instrText xml:space="preserve"> PAGEREF _Toc1804 </w:instrText>
      </w:r>
      <w:r>
        <w:rPr>
          <w:rFonts w:hint="eastAsia" w:ascii="仿宋" w:hAnsi="仿宋" w:eastAsia="仿宋" w:cs="仿宋"/>
          <w:color w:val="auto"/>
          <w:kern w:val="44"/>
          <w:sz w:val="28"/>
          <w:szCs w:val="28"/>
          <w:highlight w:val="none"/>
          <w:lang w:val="en-US" w:eastAsia="zh-CN" w:bidi="ar-SA"/>
        </w:rPr>
        <w:fldChar w:fldCharType="separate"/>
      </w:r>
      <w:r>
        <w:rPr>
          <w:rFonts w:hint="eastAsia" w:ascii="仿宋" w:hAnsi="仿宋" w:eastAsia="仿宋" w:cs="仿宋"/>
          <w:color w:val="auto"/>
          <w:kern w:val="44"/>
          <w:sz w:val="28"/>
          <w:szCs w:val="28"/>
          <w:highlight w:val="none"/>
          <w:lang w:val="en-US" w:eastAsia="zh-CN" w:bidi="ar-SA"/>
        </w:rPr>
        <w:t>38</w:t>
      </w:r>
      <w:r>
        <w:rPr>
          <w:rFonts w:hint="eastAsia" w:ascii="仿宋" w:hAnsi="仿宋" w:eastAsia="仿宋" w:cs="仿宋"/>
          <w:color w:val="auto"/>
          <w:kern w:val="44"/>
          <w:sz w:val="28"/>
          <w:szCs w:val="28"/>
          <w:highlight w:val="none"/>
          <w:lang w:val="en-US" w:eastAsia="zh-CN" w:bidi="ar-SA"/>
        </w:rPr>
        <w:fldChar w:fldCharType="end"/>
      </w:r>
      <w:r>
        <w:rPr>
          <w:rFonts w:hint="eastAsia" w:ascii="仿宋" w:hAnsi="仿宋" w:eastAsia="仿宋" w:cs="仿宋"/>
          <w:color w:val="auto"/>
          <w:kern w:val="44"/>
          <w:sz w:val="28"/>
          <w:szCs w:val="28"/>
          <w:highlight w:val="none"/>
          <w:lang w:val="en-US" w:eastAsia="zh-CN" w:bidi="ar-SA"/>
        </w:rPr>
        <w:fldChar w:fldCharType="end"/>
      </w:r>
    </w:p>
    <w:p>
      <w:pPr>
        <w:pStyle w:val="2"/>
        <w:rPr>
          <w:color w:val="auto"/>
          <w:sz w:val="28"/>
          <w:szCs w:val="28"/>
          <w:highlight w:val="none"/>
        </w:rPr>
      </w:pPr>
      <w:r>
        <w:rPr>
          <w:rFonts w:hint="eastAsia" w:asciiTheme="minorHAnsi" w:hAnsiTheme="minorHAnsi" w:eastAsiaTheme="minorEastAsia" w:cstheme="minorBidi"/>
          <w:color w:val="auto"/>
          <w:kern w:val="44"/>
          <w:szCs w:val="28"/>
          <w:highlight w:val="none"/>
          <w:lang w:val="en-US" w:eastAsia="zh-CN" w:bidi="ar-SA"/>
        </w:rPr>
        <w:fldChar w:fldCharType="end"/>
      </w:r>
    </w:p>
    <w:p>
      <w:pPr>
        <w:rPr>
          <w:color w:val="auto"/>
          <w:kern w:val="44"/>
          <w:highlight w:val="none"/>
        </w:rPr>
      </w:pPr>
    </w:p>
    <w:p>
      <w:pPr>
        <w:rPr>
          <w:color w:val="auto"/>
          <w:kern w:val="44"/>
          <w:highlight w:val="none"/>
        </w:rPr>
      </w:pPr>
    </w:p>
    <w:p>
      <w:pPr>
        <w:rPr>
          <w:color w:val="auto"/>
          <w:kern w:val="44"/>
          <w:highlight w:val="none"/>
        </w:rPr>
      </w:pPr>
    </w:p>
    <w:p>
      <w:pPr>
        <w:rPr>
          <w:color w:val="auto"/>
          <w:kern w:val="44"/>
          <w:highlight w:val="none"/>
        </w:rPr>
      </w:pPr>
    </w:p>
    <w:p>
      <w:pPr>
        <w:rPr>
          <w:color w:val="auto"/>
          <w:kern w:val="44"/>
          <w:highlight w:val="none"/>
        </w:rPr>
      </w:pPr>
    </w:p>
    <w:p>
      <w:pPr>
        <w:rPr>
          <w:color w:val="auto"/>
          <w:kern w:val="44"/>
          <w:highlight w:val="none"/>
        </w:rPr>
      </w:pPr>
    </w:p>
    <w:p>
      <w:pPr>
        <w:rPr>
          <w:color w:val="auto"/>
          <w:kern w:val="44"/>
          <w:highlight w:val="none"/>
        </w:rPr>
      </w:pPr>
    </w:p>
    <w:p>
      <w:pPr>
        <w:rPr>
          <w:color w:val="auto"/>
          <w:kern w:val="44"/>
          <w:highlight w:val="none"/>
        </w:rPr>
      </w:pPr>
    </w:p>
    <w:p>
      <w:pPr>
        <w:rPr>
          <w:color w:val="auto"/>
          <w:kern w:val="44"/>
          <w:highlight w:val="none"/>
        </w:rPr>
      </w:pPr>
    </w:p>
    <w:p>
      <w:pPr>
        <w:pStyle w:val="2"/>
        <w:rPr>
          <w:color w:val="auto"/>
          <w:highlight w:val="none"/>
        </w:rPr>
      </w:pPr>
      <w:bookmarkStart w:id="0" w:name="_Toc22482"/>
      <w:bookmarkStart w:id="1" w:name="_Toc10772"/>
      <w:r>
        <w:rPr>
          <w:rFonts w:hint="eastAsia"/>
          <w:color w:val="auto"/>
          <w:highlight w:val="none"/>
        </w:rPr>
        <w:t>第一章</w:t>
      </w:r>
      <w:bookmarkStart w:id="2" w:name="_Toc14867"/>
      <w:r>
        <w:rPr>
          <w:rFonts w:hint="eastAsia"/>
          <w:color w:val="auto"/>
          <w:highlight w:val="none"/>
          <w:lang w:val="en-US" w:eastAsia="zh-CN"/>
        </w:rPr>
        <w:t xml:space="preserve"> </w:t>
      </w:r>
      <w:r>
        <w:rPr>
          <w:rFonts w:hint="eastAsia"/>
          <w:color w:val="auto"/>
          <w:highlight w:val="none"/>
        </w:rPr>
        <w:t>项目概况</w:t>
      </w:r>
      <w:bookmarkEnd w:id="0"/>
      <w:bookmarkEnd w:id="1"/>
      <w:bookmarkEnd w:id="2"/>
    </w:p>
    <w:p>
      <w:pPr>
        <w:pStyle w:val="22"/>
        <w:widowControl/>
        <w:shd w:val="clear" w:color="auto" w:fill="FFFFFF"/>
        <w:spacing w:beforeAutospacing="0" w:afterAutospacing="0" w:line="360" w:lineRule="atLeast"/>
        <w:ind w:firstLine="420"/>
        <w:rPr>
          <w:color w:val="auto"/>
          <w:highlight w:val="none"/>
        </w:rPr>
      </w:pPr>
      <w:r>
        <w:rPr>
          <w:rFonts w:ascii="宋体" w:hAnsi="宋体" w:cs="TTF46827ACtCID-WinCharSetFFFF-H"/>
          <w:color w:val="auto"/>
          <w:sz w:val="28"/>
          <w:szCs w:val="28"/>
          <w:highlight w:val="none"/>
        </w:rPr>
        <w:t>为实施好</w:t>
      </w:r>
      <w:r>
        <w:rPr>
          <w:rFonts w:hint="eastAsia" w:ascii="宋体" w:hAnsi="宋体" w:cs="TTF46827ACtCID-WinCharSetFFFF-H"/>
          <w:color w:val="auto"/>
          <w:sz w:val="28"/>
          <w:szCs w:val="28"/>
          <w:highlight w:val="none"/>
        </w:rPr>
        <w:t>阳山</w:t>
      </w:r>
      <w:r>
        <w:rPr>
          <w:rFonts w:ascii="宋体" w:hAnsi="宋体" w:cs="TTF46827ACtCID-WinCharSetFFFF-H"/>
          <w:color w:val="auto"/>
          <w:sz w:val="28"/>
          <w:szCs w:val="28"/>
          <w:highlight w:val="none"/>
        </w:rPr>
        <w:t>县管道燃气特许经营工作，推进我县管道</w:t>
      </w:r>
      <w:r>
        <w:rPr>
          <w:rFonts w:hint="eastAsia" w:ascii="宋体" w:hAnsi="宋体" w:cs="TTF46827ACtCID-WinCharSetFFFF-H"/>
          <w:color w:val="auto"/>
          <w:sz w:val="28"/>
          <w:szCs w:val="28"/>
          <w:highlight w:val="none"/>
        </w:rPr>
        <w:t>燃气</w:t>
      </w:r>
      <w:r>
        <w:rPr>
          <w:rFonts w:ascii="宋体" w:hAnsi="宋体" w:cs="TTF46827ACtCID-WinCharSetFFFF-H"/>
          <w:color w:val="auto"/>
          <w:sz w:val="28"/>
          <w:szCs w:val="28"/>
          <w:highlight w:val="none"/>
        </w:rPr>
        <w:t>市场化进程，规范管道燃气经营，保障社会公共利益和公共安全，维护特许经营</w:t>
      </w:r>
      <w:r>
        <w:rPr>
          <w:rFonts w:hint="eastAsia" w:ascii="宋体" w:hAnsi="宋体" w:cs="TTF46827ACtCID-WinCharSetFFFF-H"/>
          <w:color w:val="auto"/>
          <w:sz w:val="28"/>
          <w:szCs w:val="28"/>
          <w:highlight w:val="none"/>
        </w:rPr>
        <w:t>企业</w:t>
      </w:r>
      <w:r>
        <w:rPr>
          <w:rFonts w:ascii="宋体" w:hAnsi="宋体" w:cs="TTF46827ACtCID-WinCharSetFFFF-H"/>
          <w:color w:val="auto"/>
          <w:sz w:val="28"/>
          <w:szCs w:val="28"/>
          <w:highlight w:val="none"/>
        </w:rPr>
        <w:t>和消费者的合法权益，根据</w:t>
      </w:r>
      <w:r>
        <w:rPr>
          <w:rFonts w:hint="eastAsia" w:ascii="宋体" w:hAnsi="宋体" w:cs="TTF46827ACtCID-WinCharSetFFFF-H"/>
          <w:color w:val="auto"/>
          <w:sz w:val="28"/>
          <w:szCs w:val="28"/>
          <w:highlight w:val="none"/>
        </w:rPr>
        <w:t>国家发改委等六部委发布的</w:t>
      </w:r>
      <w:r>
        <w:rPr>
          <w:rFonts w:ascii="宋体" w:hAnsi="宋体" w:cs="TTF46827ACtCID-WinCharSetFFFF-H"/>
          <w:color w:val="auto"/>
          <w:sz w:val="28"/>
          <w:szCs w:val="28"/>
          <w:highlight w:val="none"/>
        </w:rPr>
        <w:t>《</w:t>
      </w:r>
      <w:r>
        <w:rPr>
          <w:rFonts w:hint="eastAsia" w:ascii="宋体" w:hAnsi="宋体" w:cs="TTF46827ACtCID-WinCharSetFFFF-H"/>
          <w:color w:val="auto"/>
          <w:sz w:val="28"/>
          <w:szCs w:val="28"/>
          <w:highlight w:val="none"/>
        </w:rPr>
        <w:t>基础设施和公用事业特许经营管理办法</w:t>
      </w:r>
      <w:r>
        <w:rPr>
          <w:rFonts w:ascii="宋体" w:hAnsi="宋体" w:cs="TTF46827ACtCID-WinCharSetFFFF-H"/>
          <w:color w:val="auto"/>
          <w:sz w:val="28"/>
          <w:szCs w:val="28"/>
          <w:highlight w:val="none"/>
        </w:rPr>
        <w:t>》和</w:t>
      </w:r>
      <w:r>
        <w:rPr>
          <w:rFonts w:hint="eastAsia"/>
          <w:color w:val="auto"/>
          <w:sz w:val="28"/>
          <w:szCs w:val="28"/>
          <w:highlight w:val="none"/>
          <w:shd w:val="clear" w:color="auto" w:fill="FFFFFF"/>
        </w:rPr>
        <w:t>《城镇燃气管理条例》</w:t>
      </w:r>
      <w:r>
        <w:rPr>
          <w:rFonts w:ascii="宋体" w:hAnsi="宋体" w:cs="TTF46827ACtCID-WinCharSetFFFF-H"/>
          <w:color w:val="auto"/>
          <w:sz w:val="28"/>
          <w:szCs w:val="28"/>
          <w:highlight w:val="none"/>
        </w:rPr>
        <w:t>等</w:t>
      </w:r>
      <w:r>
        <w:rPr>
          <w:rFonts w:hint="eastAsia" w:ascii="宋体" w:hAnsi="宋体" w:cs="TTF46827ACtCID-WinCharSetFFFF-H"/>
          <w:color w:val="auto"/>
          <w:sz w:val="28"/>
          <w:szCs w:val="28"/>
          <w:highlight w:val="none"/>
        </w:rPr>
        <w:t>法律</w:t>
      </w:r>
      <w:r>
        <w:rPr>
          <w:rFonts w:ascii="宋体" w:hAnsi="宋体" w:cs="TTF46827ACtCID-WinCharSetFFFF-H"/>
          <w:color w:val="auto"/>
          <w:sz w:val="28"/>
          <w:szCs w:val="28"/>
          <w:highlight w:val="none"/>
        </w:rPr>
        <w:t>法规，特制定本实施方案</w:t>
      </w:r>
      <w:r>
        <w:rPr>
          <w:rFonts w:hint="eastAsia" w:ascii="宋体" w:hAnsi="宋体" w:cs="TTF46827ACtCID-WinCharSetFFFF-H"/>
          <w:color w:val="auto"/>
          <w:sz w:val="28"/>
          <w:szCs w:val="28"/>
          <w:highlight w:val="none"/>
        </w:rPr>
        <w:t>。</w:t>
      </w:r>
    </w:p>
    <w:p>
      <w:pPr>
        <w:pStyle w:val="3"/>
        <w:rPr>
          <w:color w:val="auto"/>
          <w:highlight w:val="none"/>
        </w:rPr>
      </w:pPr>
      <w:bookmarkStart w:id="3" w:name="_Toc7087"/>
      <w:bookmarkStart w:id="4" w:name="_Toc22621"/>
      <w:bookmarkStart w:id="5" w:name="_Toc22294"/>
      <w:r>
        <w:rPr>
          <w:rFonts w:hint="eastAsia"/>
          <w:color w:val="auto"/>
          <w:highlight w:val="none"/>
        </w:rPr>
        <w:t>一.项目名称</w:t>
      </w:r>
      <w:bookmarkEnd w:id="3"/>
      <w:bookmarkEnd w:id="4"/>
      <w:bookmarkEnd w:id="5"/>
    </w:p>
    <w:p>
      <w:pPr>
        <w:autoSpaceDE w:val="0"/>
        <w:autoSpaceDN w:val="0"/>
        <w:adjustRightInd w:val="0"/>
        <w:ind w:firstLine="56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阳山县人民政府授权阳山县住房与城乡建设局开展阳山县管道燃气特许经营权的授予工作，项目名称定为：阳山县管道燃气特许经营项目。</w:t>
      </w:r>
    </w:p>
    <w:p>
      <w:pPr>
        <w:pStyle w:val="3"/>
        <w:rPr>
          <w:color w:val="auto"/>
          <w:kern w:val="0"/>
          <w:highlight w:val="none"/>
          <w:shd w:val="clear" w:color="auto" w:fill="FFFFFF"/>
        </w:rPr>
      </w:pPr>
      <w:bookmarkStart w:id="6" w:name="_Toc25600"/>
      <w:bookmarkStart w:id="7" w:name="_Toc995"/>
      <w:bookmarkStart w:id="8" w:name="_Toc11693"/>
      <w:r>
        <w:rPr>
          <w:rFonts w:hint="eastAsia"/>
          <w:color w:val="auto"/>
          <w:highlight w:val="none"/>
        </w:rPr>
        <w:t>二.阳山县管道燃气专项规划</w:t>
      </w:r>
      <w:bookmarkEnd w:id="6"/>
      <w:r>
        <w:rPr>
          <w:rFonts w:hint="eastAsia"/>
          <w:color w:val="auto"/>
          <w:highlight w:val="none"/>
        </w:rPr>
        <w:t>概况</w:t>
      </w:r>
      <w:bookmarkEnd w:id="7"/>
      <w:bookmarkEnd w:id="8"/>
    </w:p>
    <w:p>
      <w:pPr>
        <w:rPr>
          <w:rFonts w:ascii="宋体" w:hAnsi="宋体" w:cs="TTF46827ACtCID-WinCharSetFFFF-H"/>
          <w:color w:val="auto"/>
          <w:kern w:val="0"/>
          <w:sz w:val="28"/>
          <w:szCs w:val="28"/>
          <w:highlight w:val="none"/>
        </w:rPr>
      </w:pPr>
      <w:r>
        <w:rPr>
          <w:rFonts w:hint="eastAsia" w:ascii="宋体" w:hAnsi="宋体" w:cs="TTF46827ACtCID-WinCharSetFFFF-H"/>
          <w:color w:val="auto"/>
          <w:kern w:val="0"/>
          <w:sz w:val="28"/>
          <w:szCs w:val="28"/>
          <w:highlight w:val="none"/>
        </w:rPr>
        <w:t xml:space="preserve">1.气源规划 </w:t>
      </w:r>
    </w:p>
    <w:p>
      <w:pPr>
        <w:pStyle w:val="8"/>
        <w:rPr>
          <w:color w:val="auto"/>
          <w:highlight w:val="none"/>
        </w:rPr>
      </w:pPr>
      <w:r>
        <w:rPr>
          <w:rFonts w:hint="eastAsia" w:cs="Times New Roman"/>
          <w:color w:val="auto"/>
          <w:kern w:val="0"/>
          <w:szCs w:val="28"/>
          <w:highlight w:val="none"/>
          <w:shd w:val="clear" w:color="auto" w:fill="FFFFFF"/>
        </w:rPr>
        <w:t>阳山县以发展管道天然气为主，因为上游高压管线距离较远，投资较大，故前期以LNG气化站供应天然气为主，同时预留天然气门站的位置，保留远期高压管线到达与之对接的可能性。由于天然气设施建设需要一定的时间，故在天然气暂未到达的地方，</w:t>
      </w:r>
      <w:r>
        <w:rPr>
          <w:rFonts w:hint="eastAsia"/>
          <w:color w:val="auto"/>
          <w:highlight w:val="none"/>
        </w:rPr>
        <w:t>继续使用液化石油气供应。</w:t>
      </w:r>
    </w:p>
    <w:p>
      <w:pPr>
        <w:pStyle w:val="8"/>
        <w:ind w:firstLine="0"/>
        <w:rPr>
          <w:color w:val="auto"/>
          <w:highlight w:val="none"/>
        </w:rPr>
      </w:pPr>
      <w:r>
        <w:rPr>
          <w:rFonts w:hint="eastAsia"/>
          <w:color w:val="auto"/>
          <w:highlight w:val="none"/>
        </w:rPr>
        <w:t>2.气量预测</w:t>
      </w:r>
    </w:p>
    <w:p>
      <w:pPr>
        <w:autoSpaceDE w:val="0"/>
        <w:autoSpaceDN w:val="0"/>
        <w:adjustRightInd w:val="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 xml:space="preserve">    根据对阳山县各类用户用气量的预测，得出</w:t>
      </w:r>
      <w:r>
        <w:rPr>
          <w:rFonts w:cs="Times New Roman"/>
          <w:color w:val="auto"/>
          <w:kern w:val="0"/>
          <w:sz w:val="28"/>
          <w:szCs w:val="28"/>
          <w:highlight w:val="none"/>
          <w:shd w:val="clear" w:color="auto" w:fill="FFFFFF"/>
        </w:rPr>
        <w:t>2020</w:t>
      </w:r>
      <w:r>
        <w:rPr>
          <w:rFonts w:hint="eastAsia" w:cs="Times New Roman"/>
          <w:color w:val="auto"/>
          <w:kern w:val="0"/>
          <w:sz w:val="28"/>
          <w:szCs w:val="28"/>
          <w:highlight w:val="none"/>
          <w:shd w:val="clear" w:color="auto" w:fill="FFFFFF"/>
        </w:rPr>
        <w:t>年天然气用量为</w:t>
      </w:r>
      <w:r>
        <w:rPr>
          <w:rFonts w:cs="Times New Roman"/>
          <w:color w:val="auto"/>
          <w:kern w:val="0"/>
          <w:sz w:val="28"/>
          <w:szCs w:val="28"/>
          <w:highlight w:val="none"/>
          <w:shd w:val="clear" w:color="auto" w:fill="FFFFFF"/>
        </w:rPr>
        <w:t>2797.19</w:t>
      </w:r>
      <w:r>
        <w:rPr>
          <w:rFonts w:hint="eastAsia" w:cs="Times New Roman"/>
          <w:color w:val="auto"/>
          <w:kern w:val="0"/>
          <w:sz w:val="28"/>
          <w:szCs w:val="28"/>
          <w:highlight w:val="none"/>
          <w:shd w:val="clear" w:color="auto" w:fill="FFFFFF"/>
        </w:rPr>
        <w:t>万</w:t>
      </w:r>
      <w:r>
        <w:rPr>
          <w:rFonts w:cs="Times New Roman"/>
          <w:color w:val="auto"/>
          <w:kern w:val="0"/>
          <w:sz w:val="28"/>
          <w:szCs w:val="28"/>
          <w:highlight w:val="none"/>
          <w:shd w:val="clear" w:color="auto" w:fill="FFFFFF"/>
        </w:rPr>
        <w:t>Nm</w:t>
      </w:r>
      <w:r>
        <w:rPr>
          <w:rFonts w:cs="Times New Roman"/>
          <w:color w:val="auto"/>
          <w:kern w:val="0"/>
          <w:sz w:val="28"/>
          <w:szCs w:val="28"/>
          <w:highlight w:val="none"/>
          <w:shd w:val="clear" w:color="auto" w:fill="FFFFFF"/>
          <w:vertAlign w:val="superscript"/>
        </w:rPr>
        <w:t>3</w:t>
      </w:r>
      <w:r>
        <w:rPr>
          <w:rFonts w:cs="Times New Roman"/>
          <w:color w:val="auto"/>
          <w:kern w:val="0"/>
          <w:sz w:val="28"/>
          <w:szCs w:val="28"/>
          <w:highlight w:val="none"/>
          <w:shd w:val="clear" w:color="auto" w:fill="FFFFFF"/>
        </w:rPr>
        <w:t>/a</w:t>
      </w:r>
      <w:r>
        <w:rPr>
          <w:rFonts w:hint="eastAsia" w:cs="Times New Roman"/>
          <w:color w:val="auto"/>
          <w:kern w:val="0"/>
          <w:sz w:val="28"/>
          <w:szCs w:val="28"/>
          <w:highlight w:val="none"/>
          <w:shd w:val="clear" w:color="auto" w:fill="FFFFFF"/>
        </w:rPr>
        <w:t>；</w:t>
      </w:r>
      <w:r>
        <w:rPr>
          <w:rFonts w:cs="Times New Roman"/>
          <w:color w:val="auto"/>
          <w:kern w:val="0"/>
          <w:sz w:val="28"/>
          <w:szCs w:val="28"/>
          <w:highlight w:val="none"/>
          <w:shd w:val="clear" w:color="auto" w:fill="FFFFFF"/>
        </w:rPr>
        <w:t>2025</w:t>
      </w:r>
      <w:r>
        <w:rPr>
          <w:rFonts w:hint="eastAsia" w:cs="Times New Roman"/>
          <w:color w:val="auto"/>
          <w:kern w:val="0"/>
          <w:sz w:val="28"/>
          <w:szCs w:val="28"/>
          <w:highlight w:val="none"/>
          <w:shd w:val="clear" w:color="auto" w:fill="FFFFFF"/>
        </w:rPr>
        <w:t>年天然气用量为</w:t>
      </w:r>
      <w:r>
        <w:rPr>
          <w:rFonts w:cs="Times New Roman"/>
          <w:color w:val="auto"/>
          <w:kern w:val="0"/>
          <w:sz w:val="28"/>
          <w:szCs w:val="28"/>
          <w:highlight w:val="none"/>
          <w:shd w:val="clear" w:color="auto" w:fill="FFFFFF"/>
        </w:rPr>
        <w:t>4812.35</w:t>
      </w:r>
      <w:r>
        <w:rPr>
          <w:rFonts w:hint="eastAsia" w:cs="Times New Roman"/>
          <w:color w:val="auto"/>
          <w:kern w:val="0"/>
          <w:sz w:val="28"/>
          <w:szCs w:val="28"/>
          <w:highlight w:val="none"/>
          <w:shd w:val="clear" w:color="auto" w:fill="FFFFFF"/>
        </w:rPr>
        <w:t>万</w:t>
      </w:r>
      <w:r>
        <w:rPr>
          <w:rFonts w:cs="Times New Roman"/>
          <w:color w:val="auto"/>
          <w:kern w:val="0"/>
          <w:sz w:val="28"/>
          <w:szCs w:val="28"/>
          <w:highlight w:val="none"/>
          <w:shd w:val="clear" w:color="auto" w:fill="FFFFFF"/>
        </w:rPr>
        <w:t>Nm</w:t>
      </w:r>
      <w:r>
        <w:rPr>
          <w:rFonts w:cs="Times New Roman"/>
          <w:color w:val="auto"/>
          <w:kern w:val="0"/>
          <w:sz w:val="28"/>
          <w:szCs w:val="28"/>
          <w:highlight w:val="none"/>
          <w:shd w:val="clear" w:color="auto" w:fill="FFFFFF"/>
          <w:vertAlign w:val="superscript"/>
        </w:rPr>
        <w:t>3</w:t>
      </w:r>
      <w:r>
        <w:rPr>
          <w:rFonts w:cs="Times New Roman"/>
          <w:color w:val="auto"/>
          <w:kern w:val="0"/>
          <w:sz w:val="28"/>
          <w:szCs w:val="28"/>
          <w:highlight w:val="none"/>
          <w:shd w:val="clear" w:color="auto" w:fill="FFFFFF"/>
        </w:rPr>
        <w:t>/a</w:t>
      </w:r>
      <w:r>
        <w:rPr>
          <w:rFonts w:hint="eastAsia" w:cs="Times New Roman"/>
          <w:color w:val="auto"/>
          <w:kern w:val="0"/>
          <w:sz w:val="28"/>
          <w:szCs w:val="28"/>
          <w:highlight w:val="none"/>
          <w:shd w:val="clear" w:color="auto" w:fill="FFFFFF"/>
        </w:rPr>
        <w:t>，</w:t>
      </w:r>
      <w:r>
        <w:rPr>
          <w:rFonts w:cs="Times New Roman"/>
          <w:color w:val="auto"/>
          <w:kern w:val="0"/>
          <w:sz w:val="28"/>
          <w:szCs w:val="28"/>
          <w:highlight w:val="none"/>
          <w:shd w:val="clear" w:color="auto" w:fill="FFFFFF"/>
        </w:rPr>
        <w:t>2034</w:t>
      </w:r>
      <w:r>
        <w:rPr>
          <w:rFonts w:hint="eastAsia" w:cs="Times New Roman"/>
          <w:color w:val="auto"/>
          <w:kern w:val="0"/>
          <w:sz w:val="28"/>
          <w:szCs w:val="28"/>
          <w:highlight w:val="none"/>
          <w:shd w:val="clear" w:color="auto" w:fill="FFFFFF"/>
        </w:rPr>
        <w:t>年天然气用量为</w:t>
      </w:r>
      <w:r>
        <w:rPr>
          <w:rFonts w:cs="Times New Roman"/>
          <w:color w:val="auto"/>
          <w:kern w:val="0"/>
          <w:sz w:val="28"/>
          <w:szCs w:val="28"/>
          <w:highlight w:val="none"/>
          <w:shd w:val="clear" w:color="auto" w:fill="FFFFFF"/>
        </w:rPr>
        <w:t>8226.88</w:t>
      </w:r>
      <w:r>
        <w:rPr>
          <w:rFonts w:hint="eastAsia" w:cs="Times New Roman"/>
          <w:color w:val="auto"/>
          <w:kern w:val="0"/>
          <w:sz w:val="28"/>
          <w:szCs w:val="28"/>
          <w:highlight w:val="none"/>
          <w:shd w:val="clear" w:color="auto" w:fill="FFFFFF"/>
        </w:rPr>
        <w:t>万</w:t>
      </w:r>
      <w:r>
        <w:rPr>
          <w:rFonts w:cs="Times New Roman"/>
          <w:color w:val="auto"/>
          <w:kern w:val="0"/>
          <w:sz w:val="28"/>
          <w:szCs w:val="28"/>
          <w:highlight w:val="none"/>
          <w:shd w:val="clear" w:color="auto" w:fill="FFFFFF"/>
        </w:rPr>
        <w:t>Nm</w:t>
      </w:r>
      <w:r>
        <w:rPr>
          <w:rFonts w:cs="Times New Roman"/>
          <w:color w:val="auto"/>
          <w:kern w:val="0"/>
          <w:sz w:val="28"/>
          <w:szCs w:val="28"/>
          <w:highlight w:val="none"/>
          <w:shd w:val="clear" w:color="auto" w:fill="FFFFFF"/>
          <w:vertAlign w:val="superscript"/>
        </w:rPr>
        <w:t>3</w:t>
      </w:r>
      <w:r>
        <w:rPr>
          <w:rFonts w:cs="Times New Roman"/>
          <w:color w:val="auto"/>
          <w:kern w:val="0"/>
          <w:sz w:val="28"/>
          <w:szCs w:val="28"/>
          <w:highlight w:val="none"/>
          <w:shd w:val="clear" w:color="auto" w:fill="FFFFFF"/>
        </w:rPr>
        <w:t>/a</w:t>
      </w:r>
      <w:r>
        <w:rPr>
          <w:rFonts w:hint="eastAsia" w:cs="Times New Roman"/>
          <w:color w:val="auto"/>
          <w:kern w:val="0"/>
          <w:sz w:val="28"/>
          <w:szCs w:val="28"/>
          <w:highlight w:val="none"/>
          <w:shd w:val="clear" w:color="auto" w:fill="FFFFFF"/>
        </w:rPr>
        <w:t>。</w:t>
      </w:r>
    </w:p>
    <w:p>
      <w:pPr>
        <w:autoSpaceDE w:val="0"/>
        <w:autoSpaceDN w:val="0"/>
        <w:adjustRightInd w:val="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3.燃气工程规划</w:t>
      </w:r>
    </w:p>
    <w:p>
      <w:pPr>
        <w:autoSpaceDE w:val="0"/>
        <w:autoSpaceDN w:val="0"/>
        <w:adjustRightInd w:val="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规划期内拟建设：</w:t>
      </w:r>
    </w:p>
    <w:p>
      <w:pPr>
        <w:numPr>
          <w:ilvl w:val="0"/>
          <w:numId w:val="1"/>
        </w:numPr>
        <w:autoSpaceDE w:val="0"/>
        <w:autoSpaceDN w:val="0"/>
        <w:adjustRightInd w:val="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储量为6</w:t>
      </w:r>
      <w:r>
        <w:rPr>
          <w:rFonts w:cs="Times New Roman"/>
          <w:color w:val="auto"/>
          <w:kern w:val="0"/>
          <w:sz w:val="28"/>
          <w:szCs w:val="28"/>
          <w:highlight w:val="none"/>
          <w:shd w:val="clear" w:color="auto" w:fill="FFFFFF"/>
        </w:rPr>
        <w:t>00m</w:t>
      </w:r>
      <w:r>
        <w:rPr>
          <w:rFonts w:cs="Times New Roman"/>
          <w:color w:val="auto"/>
          <w:kern w:val="0"/>
          <w:sz w:val="28"/>
          <w:szCs w:val="28"/>
          <w:highlight w:val="none"/>
          <w:shd w:val="clear" w:color="auto" w:fill="FFFFFF"/>
          <w:vertAlign w:val="superscript"/>
        </w:rPr>
        <w:t>3</w:t>
      </w:r>
      <w:r>
        <w:rPr>
          <w:rFonts w:hint="eastAsia" w:cs="Times New Roman"/>
          <w:color w:val="auto"/>
          <w:kern w:val="0"/>
          <w:sz w:val="28"/>
          <w:szCs w:val="28"/>
          <w:highlight w:val="none"/>
          <w:shd w:val="clear" w:color="auto" w:fill="FFFFFF"/>
        </w:rPr>
        <w:t>阳山县</w:t>
      </w:r>
      <w:r>
        <w:rPr>
          <w:rFonts w:cs="Times New Roman"/>
          <w:color w:val="auto"/>
          <w:kern w:val="0"/>
          <w:sz w:val="28"/>
          <w:szCs w:val="28"/>
          <w:highlight w:val="none"/>
          <w:shd w:val="clear" w:color="auto" w:fill="FFFFFF"/>
        </w:rPr>
        <w:t>LNG</w:t>
      </w:r>
      <w:r>
        <w:rPr>
          <w:rFonts w:hint="eastAsia" w:cs="Times New Roman"/>
          <w:color w:val="auto"/>
          <w:kern w:val="0"/>
          <w:sz w:val="28"/>
          <w:szCs w:val="28"/>
          <w:highlight w:val="none"/>
          <w:shd w:val="clear" w:color="auto" w:fill="FFFFFF"/>
        </w:rPr>
        <w:t>气化站1座；</w:t>
      </w:r>
    </w:p>
    <w:p>
      <w:pPr>
        <w:numPr>
          <w:ilvl w:val="0"/>
          <w:numId w:val="1"/>
        </w:numPr>
        <w:autoSpaceDE w:val="0"/>
        <w:autoSpaceDN w:val="0"/>
        <w:adjustRightInd w:val="0"/>
        <w:jc w:val="left"/>
        <w:rPr>
          <w:rFonts w:cs="Times New Roman"/>
          <w:color w:val="auto"/>
          <w:kern w:val="0"/>
          <w:sz w:val="28"/>
          <w:szCs w:val="28"/>
          <w:highlight w:val="none"/>
          <w:shd w:val="clear" w:color="auto" w:fill="FFFFFF"/>
        </w:rPr>
      </w:pPr>
      <w:r>
        <w:rPr>
          <w:rFonts w:cs="Times New Roman"/>
          <w:color w:val="auto"/>
          <w:kern w:val="0"/>
          <w:sz w:val="28"/>
          <w:szCs w:val="28"/>
          <w:highlight w:val="none"/>
          <w:shd w:val="clear" w:color="auto" w:fill="FFFFFF"/>
        </w:rPr>
        <w:t>LNG/L-CNG</w:t>
      </w:r>
      <w:r>
        <w:rPr>
          <w:rFonts w:hint="eastAsia" w:cs="Times New Roman"/>
          <w:color w:val="auto"/>
          <w:kern w:val="0"/>
          <w:sz w:val="28"/>
          <w:szCs w:val="28"/>
          <w:highlight w:val="none"/>
          <w:shd w:val="clear" w:color="auto" w:fill="FFFFFF"/>
        </w:rPr>
        <w:t>加气站2座；</w:t>
      </w:r>
    </w:p>
    <w:p>
      <w:pPr>
        <w:numPr>
          <w:ilvl w:val="0"/>
          <w:numId w:val="1"/>
        </w:numPr>
        <w:autoSpaceDE w:val="0"/>
        <w:autoSpaceDN w:val="0"/>
        <w:adjustRightInd w:val="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建设中压主干管网66.9</w:t>
      </w:r>
      <w:r>
        <w:rPr>
          <w:rFonts w:cs="Times New Roman"/>
          <w:color w:val="auto"/>
          <w:kern w:val="0"/>
          <w:sz w:val="28"/>
          <w:szCs w:val="28"/>
          <w:highlight w:val="none"/>
          <w:shd w:val="clear" w:color="auto" w:fill="FFFFFF"/>
        </w:rPr>
        <w:t>km</w:t>
      </w:r>
      <w:r>
        <w:rPr>
          <w:rFonts w:hint="eastAsia" w:cs="Times New Roman"/>
          <w:color w:val="auto"/>
          <w:kern w:val="0"/>
          <w:sz w:val="28"/>
          <w:szCs w:val="28"/>
          <w:highlight w:val="none"/>
          <w:shd w:val="clear" w:color="auto" w:fill="FFFFFF"/>
        </w:rPr>
        <w:t>；</w:t>
      </w:r>
    </w:p>
    <w:p>
      <w:pPr>
        <w:numPr>
          <w:ilvl w:val="0"/>
          <w:numId w:val="1"/>
        </w:numPr>
        <w:autoSpaceDE w:val="0"/>
        <w:autoSpaceDN w:val="0"/>
        <w:adjustRightInd w:val="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根据上游高压管线的建设情况，适时建设阳山县天然气门站；</w:t>
      </w:r>
    </w:p>
    <w:p>
      <w:pPr>
        <w:numPr>
          <w:ilvl w:val="0"/>
          <w:numId w:val="1"/>
        </w:numPr>
        <w:autoSpaceDE w:val="0"/>
        <w:autoSpaceDN w:val="0"/>
        <w:adjustRightInd w:val="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根据上游高压天然气分输站的建设情况，适时建设分输站至门站的高压管道；</w:t>
      </w:r>
    </w:p>
    <w:p>
      <w:pPr>
        <w:pStyle w:val="3"/>
        <w:rPr>
          <w:color w:val="auto"/>
          <w:highlight w:val="none"/>
        </w:rPr>
      </w:pPr>
      <w:bookmarkStart w:id="9" w:name="_Toc12209"/>
      <w:bookmarkStart w:id="10" w:name="_Toc20701"/>
      <w:r>
        <w:rPr>
          <w:rFonts w:hint="eastAsia"/>
          <w:color w:val="auto"/>
          <w:highlight w:val="none"/>
        </w:rPr>
        <w:t>三.建设规模</w:t>
      </w:r>
      <w:bookmarkEnd w:id="9"/>
      <w:bookmarkEnd w:id="10"/>
    </w:p>
    <w:p>
      <w:pPr>
        <w:rPr>
          <w:color w:val="auto"/>
          <w:sz w:val="28"/>
          <w:szCs w:val="28"/>
          <w:highlight w:val="none"/>
        </w:rPr>
      </w:pPr>
      <w:r>
        <w:rPr>
          <w:rFonts w:hint="eastAsia"/>
          <w:color w:val="auto"/>
          <w:sz w:val="28"/>
          <w:szCs w:val="28"/>
          <w:highlight w:val="none"/>
        </w:rPr>
        <w:t xml:space="preserve">    根据阳山县管道燃气专项规划及阳山县目前实际情况。确定本项目的建设规模为：</w:t>
      </w:r>
    </w:p>
    <w:p>
      <w:pPr>
        <w:autoSpaceDE w:val="0"/>
        <w:autoSpaceDN w:val="0"/>
        <w:adjustRightInd w:val="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（1）供气规模</w:t>
      </w:r>
    </w:p>
    <w:p>
      <w:pPr>
        <w:autoSpaceDE w:val="0"/>
        <w:autoSpaceDN w:val="0"/>
        <w:adjustRightInd w:val="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 xml:space="preserve">    到</w:t>
      </w:r>
      <w:r>
        <w:rPr>
          <w:rFonts w:cs="Times New Roman"/>
          <w:color w:val="auto"/>
          <w:kern w:val="0"/>
          <w:sz w:val="28"/>
          <w:szCs w:val="28"/>
          <w:highlight w:val="none"/>
          <w:shd w:val="clear" w:color="auto" w:fill="FFFFFF"/>
        </w:rPr>
        <w:t>2025</w:t>
      </w:r>
      <w:r>
        <w:rPr>
          <w:rFonts w:hint="eastAsia" w:cs="Times New Roman"/>
          <w:color w:val="auto"/>
          <w:kern w:val="0"/>
          <w:sz w:val="28"/>
          <w:szCs w:val="28"/>
          <w:highlight w:val="none"/>
          <w:shd w:val="clear" w:color="auto" w:fill="FFFFFF"/>
        </w:rPr>
        <w:t>年，年天然气用量为</w:t>
      </w:r>
      <w:r>
        <w:rPr>
          <w:rFonts w:cs="Times New Roman"/>
          <w:color w:val="auto"/>
          <w:kern w:val="0"/>
          <w:sz w:val="28"/>
          <w:szCs w:val="28"/>
          <w:highlight w:val="none"/>
          <w:shd w:val="clear" w:color="auto" w:fill="FFFFFF"/>
        </w:rPr>
        <w:t>3293.75</w:t>
      </w:r>
      <w:r>
        <w:rPr>
          <w:rFonts w:hint="eastAsia" w:cs="Times New Roman"/>
          <w:color w:val="auto"/>
          <w:kern w:val="0"/>
          <w:sz w:val="28"/>
          <w:szCs w:val="28"/>
          <w:highlight w:val="none"/>
          <w:shd w:val="clear" w:color="auto" w:fill="FFFFFF"/>
        </w:rPr>
        <w:t>万</w:t>
      </w:r>
      <w:r>
        <w:rPr>
          <w:rFonts w:cs="Times New Roman"/>
          <w:color w:val="auto"/>
          <w:kern w:val="0"/>
          <w:sz w:val="28"/>
          <w:szCs w:val="28"/>
          <w:highlight w:val="none"/>
          <w:shd w:val="clear" w:color="auto" w:fill="FFFFFF"/>
        </w:rPr>
        <w:t>Nm</w:t>
      </w:r>
      <w:r>
        <w:rPr>
          <w:rFonts w:cs="Times New Roman"/>
          <w:color w:val="auto"/>
          <w:kern w:val="0"/>
          <w:sz w:val="28"/>
          <w:szCs w:val="28"/>
          <w:highlight w:val="none"/>
          <w:shd w:val="clear" w:color="auto" w:fill="FFFFFF"/>
          <w:vertAlign w:val="superscript"/>
        </w:rPr>
        <w:t>3</w:t>
      </w:r>
      <w:r>
        <w:rPr>
          <w:rFonts w:hint="eastAsia" w:cs="Times New Roman"/>
          <w:color w:val="auto"/>
          <w:kern w:val="0"/>
          <w:sz w:val="28"/>
          <w:szCs w:val="28"/>
          <w:highlight w:val="none"/>
          <w:shd w:val="clear" w:color="auto" w:fill="FFFFFF"/>
        </w:rPr>
        <w:t>；到</w:t>
      </w:r>
      <w:r>
        <w:rPr>
          <w:rFonts w:cs="Times New Roman"/>
          <w:color w:val="auto"/>
          <w:kern w:val="0"/>
          <w:sz w:val="28"/>
          <w:szCs w:val="28"/>
          <w:highlight w:val="none"/>
          <w:shd w:val="clear" w:color="auto" w:fill="FFFFFF"/>
        </w:rPr>
        <w:t>2034</w:t>
      </w:r>
      <w:r>
        <w:rPr>
          <w:rFonts w:hint="eastAsia" w:cs="Times New Roman"/>
          <w:color w:val="auto"/>
          <w:kern w:val="0"/>
          <w:sz w:val="28"/>
          <w:szCs w:val="28"/>
          <w:highlight w:val="none"/>
          <w:shd w:val="clear" w:color="auto" w:fill="FFFFFF"/>
        </w:rPr>
        <w:t>年，年天然气用量为</w:t>
      </w:r>
      <w:r>
        <w:rPr>
          <w:rFonts w:cs="Times New Roman"/>
          <w:color w:val="auto"/>
          <w:kern w:val="0"/>
          <w:sz w:val="28"/>
          <w:szCs w:val="28"/>
          <w:highlight w:val="none"/>
          <w:shd w:val="clear" w:color="auto" w:fill="FFFFFF"/>
        </w:rPr>
        <w:t>6798.3</w:t>
      </w:r>
      <w:r>
        <w:rPr>
          <w:rFonts w:hint="eastAsia" w:cs="Times New Roman"/>
          <w:color w:val="auto"/>
          <w:kern w:val="0"/>
          <w:sz w:val="28"/>
          <w:szCs w:val="28"/>
          <w:highlight w:val="none"/>
          <w:shd w:val="clear" w:color="auto" w:fill="FFFFFF"/>
        </w:rPr>
        <w:t>万</w:t>
      </w:r>
      <w:r>
        <w:rPr>
          <w:rFonts w:cs="Times New Roman"/>
          <w:color w:val="auto"/>
          <w:kern w:val="0"/>
          <w:sz w:val="28"/>
          <w:szCs w:val="28"/>
          <w:highlight w:val="none"/>
          <w:shd w:val="clear" w:color="auto" w:fill="FFFFFF"/>
        </w:rPr>
        <w:t>Nm</w:t>
      </w:r>
      <w:r>
        <w:rPr>
          <w:rFonts w:cs="Times New Roman"/>
          <w:color w:val="auto"/>
          <w:kern w:val="0"/>
          <w:sz w:val="28"/>
          <w:szCs w:val="28"/>
          <w:highlight w:val="none"/>
          <w:shd w:val="clear" w:color="auto" w:fill="FFFFFF"/>
          <w:vertAlign w:val="superscript"/>
        </w:rPr>
        <w:t>3</w:t>
      </w:r>
      <w:r>
        <w:rPr>
          <w:rFonts w:hint="eastAsia" w:cs="Times New Roman"/>
          <w:color w:val="auto"/>
          <w:kern w:val="0"/>
          <w:sz w:val="28"/>
          <w:szCs w:val="28"/>
          <w:highlight w:val="none"/>
          <w:shd w:val="clear" w:color="auto" w:fill="FFFFFF"/>
        </w:rPr>
        <w:t>。</w:t>
      </w:r>
    </w:p>
    <w:p>
      <w:pPr>
        <w:autoSpaceDE w:val="0"/>
        <w:autoSpaceDN w:val="0"/>
        <w:adjustRightInd w:val="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（2）场站建设</w:t>
      </w:r>
    </w:p>
    <w:p>
      <w:pPr>
        <w:autoSpaceDE w:val="0"/>
        <w:autoSpaceDN w:val="0"/>
        <w:adjustRightInd w:val="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lang w:val="en-US" w:eastAsia="zh-CN"/>
        </w:rPr>
        <w:t xml:space="preserve">   </w:t>
      </w:r>
      <w:r>
        <w:rPr>
          <w:rFonts w:hint="eastAsia" w:cs="Times New Roman"/>
          <w:color w:val="auto"/>
          <w:kern w:val="0"/>
          <w:sz w:val="28"/>
          <w:szCs w:val="28"/>
          <w:highlight w:val="none"/>
          <w:shd w:val="clear" w:color="auto" w:fill="FFFFFF"/>
        </w:rPr>
        <w:t>建设储量为</w:t>
      </w:r>
      <w:r>
        <w:rPr>
          <w:rFonts w:hint="eastAsia" w:cs="Times New Roman"/>
          <w:color w:val="auto"/>
          <w:kern w:val="0"/>
          <w:sz w:val="28"/>
          <w:szCs w:val="28"/>
          <w:highlight w:val="none"/>
          <w:shd w:val="clear" w:color="auto" w:fill="FFFFFF"/>
          <w:lang w:val="en-US" w:eastAsia="zh-CN"/>
        </w:rPr>
        <w:t>600M</w:t>
      </w:r>
      <w:r>
        <w:rPr>
          <w:rFonts w:hint="eastAsia" w:cs="Times New Roman"/>
          <w:color w:val="auto"/>
          <w:kern w:val="0"/>
          <w:sz w:val="28"/>
          <w:szCs w:val="28"/>
          <w:highlight w:val="none"/>
          <w:shd w:val="clear" w:color="auto" w:fill="FFFFFF"/>
          <w:vertAlign w:val="superscript"/>
          <w:lang w:val="en-US" w:eastAsia="zh-CN"/>
        </w:rPr>
        <w:t>3</w:t>
      </w:r>
      <w:r>
        <w:rPr>
          <w:rFonts w:hint="eastAsia" w:cs="Times New Roman"/>
          <w:color w:val="auto"/>
          <w:kern w:val="0"/>
          <w:sz w:val="28"/>
          <w:szCs w:val="28"/>
          <w:highlight w:val="none"/>
          <w:shd w:val="clear" w:color="auto" w:fill="FFFFFF"/>
        </w:rPr>
        <w:t>LNG气化站1座，L-CNG加气站2座；天然气门站1座。</w:t>
      </w:r>
    </w:p>
    <w:p>
      <w:pPr>
        <w:autoSpaceDE w:val="0"/>
        <w:autoSpaceDN w:val="0"/>
        <w:adjustRightInd w:val="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（3）管网建设</w:t>
      </w:r>
    </w:p>
    <w:p>
      <w:pPr>
        <w:autoSpaceDE w:val="0"/>
        <w:autoSpaceDN w:val="0"/>
        <w:adjustRightInd w:val="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 xml:space="preserve">   配套中压管网70公里、高压管道20公里。</w:t>
      </w:r>
    </w:p>
    <w:p>
      <w:pPr>
        <w:autoSpaceDE w:val="0"/>
        <w:autoSpaceDN w:val="0"/>
        <w:adjustRightInd w:val="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（4）配套设施建设</w:t>
      </w:r>
    </w:p>
    <w:p>
      <w:pPr>
        <w:autoSpaceDE w:val="0"/>
        <w:autoSpaceDN w:val="0"/>
        <w:adjustRightInd w:val="0"/>
        <w:ind w:firstLine="566"/>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建设营业客服中心1座，SCADA系统1套。</w:t>
      </w:r>
    </w:p>
    <w:p>
      <w:pPr>
        <w:pStyle w:val="3"/>
        <w:rPr>
          <w:color w:val="auto"/>
          <w:highlight w:val="none"/>
        </w:rPr>
      </w:pPr>
      <w:bookmarkStart w:id="11" w:name="_Toc13890"/>
      <w:bookmarkStart w:id="12" w:name="_Toc31832"/>
      <w:r>
        <w:rPr>
          <w:rFonts w:hint="eastAsia"/>
          <w:color w:val="auto"/>
          <w:highlight w:val="none"/>
        </w:rPr>
        <w:t>四.投资总额</w:t>
      </w:r>
      <w:bookmarkEnd w:id="11"/>
      <w:bookmarkEnd w:id="12"/>
    </w:p>
    <w:p>
      <w:pPr>
        <w:spacing w:line="360" w:lineRule="auto"/>
        <w:ind w:firstLine="560" w:firstLineChars="200"/>
        <w:rPr>
          <w:rFonts w:ascii="宋体" w:hAnsi="宋体"/>
          <w:color w:val="auto"/>
          <w:sz w:val="28"/>
          <w:highlight w:val="none"/>
        </w:rPr>
      </w:pPr>
      <w:r>
        <w:rPr>
          <w:rFonts w:hint="eastAsia" w:ascii="宋体" w:hAnsi="宋体"/>
          <w:color w:val="auto"/>
          <w:sz w:val="28"/>
          <w:highlight w:val="none"/>
        </w:rPr>
        <w:t>本项目总投资为7974.8万元。投资组成见下表：</w:t>
      </w:r>
    </w:p>
    <w:p>
      <w:pPr>
        <w:spacing w:line="360" w:lineRule="auto"/>
        <w:ind w:firstLine="560" w:firstLineChars="200"/>
        <w:rPr>
          <w:rFonts w:ascii="宋体" w:hAnsi="宋体"/>
          <w:color w:val="auto"/>
          <w:sz w:val="28"/>
          <w:highlight w:val="none"/>
        </w:rPr>
      </w:pPr>
    </w:p>
    <w:p>
      <w:pPr>
        <w:spacing w:line="360" w:lineRule="auto"/>
        <w:ind w:firstLine="560" w:firstLineChars="200"/>
        <w:rPr>
          <w:rFonts w:ascii="宋体" w:hAnsi="宋体"/>
          <w:color w:val="auto"/>
          <w:sz w:val="28"/>
          <w:highlight w:val="none"/>
        </w:rPr>
      </w:pPr>
    </w:p>
    <w:p>
      <w:pPr>
        <w:spacing w:line="360" w:lineRule="auto"/>
        <w:ind w:firstLine="560" w:firstLineChars="200"/>
        <w:rPr>
          <w:rFonts w:ascii="宋体" w:hAnsi="宋体"/>
          <w:color w:val="auto"/>
          <w:sz w:val="28"/>
          <w:highlight w:val="none"/>
        </w:rPr>
      </w:pPr>
    </w:p>
    <w:p>
      <w:pPr>
        <w:spacing w:line="360" w:lineRule="auto"/>
        <w:jc w:val="center"/>
        <w:rPr>
          <w:rFonts w:ascii="宋体" w:hAnsi="宋体"/>
          <w:b/>
          <w:bCs/>
          <w:color w:val="auto"/>
          <w:kern w:val="0"/>
          <w:sz w:val="28"/>
          <w:highlight w:val="none"/>
        </w:rPr>
      </w:pPr>
      <w:r>
        <w:rPr>
          <w:rFonts w:ascii="宋体" w:hAnsi="宋体"/>
          <w:b/>
          <w:bCs/>
          <w:color w:val="auto"/>
          <w:kern w:val="0"/>
          <w:sz w:val="28"/>
          <w:highlight w:val="none"/>
        </w:rPr>
        <w:t>费用组成</w:t>
      </w:r>
    </w:p>
    <w:tbl>
      <w:tblPr>
        <w:tblStyle w:val="28"/>
        <w:tblW w:w="7695" w:type="dxa"/>
        <w:tblInd w:w="3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0"/>
        <w:gridCol w:w="3585"/>
        <w:gridCol w:w="2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70" w:type="dxa"/>
            <w:vAlign w:val="center"/>
          </w:tcPr>
          <w:p>
            <w:pPr>
              <w:spacing w:line="360" w:lineRule="auto"/>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序号</w:t>
            </w:r>
          </w:p>
        </w:tc>
        <w:tc>
          <w:tcPr>
            <w:tcW w:w="3585" w:type="dxa"/>
            <w:vAlign w:val="center"/>
          </w:tcPr>
          <w:p>
            <w:pPr>
              <w:spacing w:line="360" w:lineRule="auto"/>
              <w:ind w:left="386" w:firstLine="539"/>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费用名称</w:t>
            </w:r>
          </w:p>
        </w:tc>
        <w:tc>
          <w:tcPr>
            <w:tcW w:w="2640" w:type="dxa"/>
            <w:vAlign w:val="center"/>
          </w:tcPr>
          <w:p>
            <w:pPr>
              <w:spacing w:line="360" w:lineRule="auto"/>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金额(万元人民币)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70" w:type="dxa"/>
            <w:vAlign w:val="center"/>
          </w:tcPr>
          <w:p>
            <w:pPr>
              <w:spacing w:line="360" w:lineRule="auto"/>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一</w:t>
            </w:r>
          </w:p>
        </w:tc>
        <w:tc>
          <w:tcPr>
            <w:tcW w:w="3585" w:type="dxa"/>
            <w:vAlign w:val="center"/>
          </w:tcPr>
          <w:p>
            <w:pPr>
              <w:spacing w:line="360" w:lineRule="auto"/>
              <w:jc w:val="left"/>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 xml:space="preserve">        工程费用</w:t>
            </w:r>
          </w:p>
        </w:tc>
        <w:tc>
          <w:tcPr>
            <w:tcW w:w="2640" w:type="dxa"/>
            <w:vAlign w:val="center"/>
          </w:tcPr>
          <w:p>
            <w:pPr>
              <w:spacing w:line="360" w:lineRule="auto"/>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6220.3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70" w:type="dxa"/>
            <w:vAlign w:val="center"/>
          </w:tcPr>
          <w:p>
            <w:pPr>
              <w:spacing w:line="360" w:lineRule="auto"/>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二</w:t>
            </w:r>
          </w:p>
        </w:tc>
        <w:tc>
          <w:tcPr>
            <w:tcW w:w="3585" w:type="dxa"/>
            <w:vAlign w:val="center"/>
          </w:tcPr>
          <w:p>
            <w:pPr>
              <w:spacing w:line="360" w:lineRule="auto"/>
              <w:jc w:val="left"/>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 xml:space="preserve">        其它费用</w:t>
            </w:r>
          </w:p>
        </w:tc>
        <w:tc>
          <w:tcPr>
            <w:tcW w:w="2640" w:type="dxa"/>
            <w:vAlign w:val="center"/>
          </w:tcPr>
          <w:p>
            <w:pPr>
              <w:spacing w:line="360" w:lineRule="auto"/>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826.9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70" w:type="dxa"/>
            <w:vAlign w:val="center"/>
          </w:tcPr>
          <w:p>
            <w:pPr>
              <w:spacing w:line="360" w:lineRule="auto"/>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三</w:t>
            </w:r>
          </w:p>
        </w:tc>
        <w:tc>
          <w:tcPr>
            <w:tcW w:w="3585" w:type="dxa"/>
            <w:vAlign w:val="center"/>
          </w:tcPr>
          <w:p>
            <w:pPr>
              <w:spacing w:line="360" w:lineRule="auto"/>
              <w:ind w:left="386" w:firstLine="539"/>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基本预备费</w:t>
            </w:r>
          </w:p>
        </w:tc>
        <w:tc>
          <w:tcPr>
            <w:tcW w:w="2640" w:type="dxa"/>
            <w:vAlign w:val="center"/>
          </w:tcPr>
          <w:p>
            <w:pPr>
              <w:spacing w:line="360" w:lineRule="auto"/>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563.8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70" w:type="dxa"/>
            <w:vAlign w:val="center"/>
          </w:tcPr>
          <w:p>
            <w:pPr>
              <w:spacing w:line="360" w:lineRule="auto"/>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四</w:t>
            </w:r>
          </w:p>
        </w:tc>
        <w:tc>
          <w:tcPr>
            <w:tcW w:w="3585" w:type="dxa"/>
            <w:vAlign w:val="center"/>
          </w:tcPr>
          <w:p>
            <w:pPr>
              <w:spacing w:line="360" w:lineRule="auto"/>
              <w:ind w:left="386" w:firstLine="539"/>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建设投资</w:t>
            </w:r>
          </w:p>
        </w:tc>
        <w:tc>
          <w:tcPr>
            <w:tcW w:w="2640" w:type="dxa"/>
            <w:vAlign w:val="center"/>
          </w:tcPr>
          <w:p>
            <w:pPr>
              <w:spacing w:line="360" w:lineRule="auto"/>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7610.9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70" w:type="dxa"/>
            <w:vAlign w:val="center"/>
          </w:tcPr>
          <w:p>
            <w:pPr>
              <w:spacing w:line="360" w:lineRule="auto"/>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五</w:t>
            </w:r>
          </w:p>
        </w:tc>
        <w:tc>
          <w:tcPr>
            <w:tcW w:w="3585" w:type="dxa"/>
            <w:vAlign w:val="center"/>
          </w:tcPr>
          <w:p>
            <w:pPr>
              <w:spacing w:line="360" w:lineRule="auto"/>
              <w:ind w:left="386" w:firstLine="539"/>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建设期利息</w:t>
            </w:r>
          </w:p>
        </w:tc>
        <w:tc>
          <w:tcPr>
            <w:tcW w:w="2640" w:type="dxa"/>
            <w:vAlign w:val="center"/>
          </w:tcPr>
          <w:p>
            <w:pPr>
              <w:spacing w:line="360" w:lineRule="auto"/>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71.4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70" w:type="dxa"/>
            <w:vAlign w:val="center"/>
          </w:tcPr>
          <w:p>
            <w:pPr>
              <w:spacing w:line="360" w:lineRule="auto"/>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六</w:t>
            </w:r>
          </w:p>
        </w:tc>
        <w:tc>
          <w:tcPr>
            <w:tcW w:w="3585" w:type="dxa"/>
            <w:vAlign w:val="center"/>
          </w:tcPr>
          <w:p>
            <w:pPr>
              <w:spacing w:line="360" w:lineRule="auto"/>
              <w:ind w:left="386" w:firstLine="539"/>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流动资金</w:t>
            </w:r>
          </w:p>
        </w:tc>
        <w:tc>
          <w:tcPr>
            <w:tcW w:w="2640" w:type="dxa"/>
            <w:vAlign w:val="center"/>
          </w:tcPr>
          <w:p>
            <w:pPr>
              <w:spacing w:line="360" w:lineRule="auto"/>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292.5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70" w:type="dxa"/>
            <w:vAlign w:val="center"/>
          </w:tcPr>
          <w:p>
            <w:pPr>
              <w:spacing w:line="360" w:lineRule="auto"/>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七</w:t>
            </w:r>
          </w:p>
        </w:tc>
        <w:tc>
          <w:tcPr>
            <w:tcW w:w="3585" w:type="dxa"/>
            <w:vAlign w:val="center"/>
          </w:tcPr>
          <w:p>
            <w:pPr>
              <w:spacing w:line="360" w:lineRule="auto"/>
              <w:ind w:left="386" w:firstLine="539"/>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总投资</w:t>
            </w:r>
          </w:p>
        </w:tc>
        <w:tc>
          <w:tcPr>
            <w:tcW w:w="2640" w:type="dxa"/>
            <w:vAlign w:val="center"/>
          </w:tcPr>
          <w:p>
            <w:pPr>
              <w:spacing w:line="360" w:lineRule="auto"/>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7974.8</w:t>
            </w:r>
          </w:p>
        </w:tc>
      </w:tr>
    </w:tbl>
    <w:p>
      <w:pPr>
        <w:pStyle w:val="3"/>
        <w:rPr>
          <w:color w:val="auto"/>
          <w:highlight w:val="none"/>
        </w:rPr>
      </w:pPr>
      <w:bookmarkStart w:id="13" w:name="_Toc3529"/>
      <w:bookmarkStart w:id="14" w:name="_Toc28219"/>
      <w:bookmarkStart w:id="15" w:name="_Toc29694"/>
      <w:r>
        <w:rPr>
          <w:rFonts w:hint="eastAsia"/>
          <w:color w:val="auto"/>
          <w:highlight w:val="none"/>
        </w:rPr>
        <w:t>五.项目实施进度</w:t>
      </w:r>
      <w:bookmarkEnd w:id="13"/>
      <w:bookmarkEnd w:id="14"/>
    </w:p>
    <w:p>
      <w:pPr>
        <w:autoSpaceDE w:val="0"/>
        <w:autoSpaceDN w:val="0"/>
        <w:adjustRightInd w:val="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 xml:space="preserve">    根据阳山县城管道燃气专项规划的内容及阳山县社会经济发展现状，本项目实施进度如下：</w:t>
      </w:r>
    </w:p>
    <w:p>
      <w:pPr>
        <w:pStyle w:val="22"/>
        <w:widowControl/>
        <w:shd w:val="clear" w:color="auto" w:fill="FFFFFF"/>
        <w:spacing w:beforeAutospacing="0" w:afterAutospacing="0" w:line="360" w:lineRule="atLeast"/>
        <w:ind w:firstLine="420"/>
        <w:rPr>
          <w:color w:val="auto"/>
          <w:sz w:val="28"/>
          <w:szCs w:val="28"/>
          <w:highlight w:val="none"/>
          <w:shd w:val="clear" w:color="auto" w:fill="FFFFFF"/>
        </w:rPr>
      </w:pPr>
      <w:r>
        <w:rPr>
          <w:rFonts w:hint="eastAsia"/>
          <w:color w:val="auto"/>
          <w:sz w:val="28"/>
          <w:szCs w:val="28"/>
          <w:highlight w:val="none"/>
          <w:shd w:val="clear" w:color="auto" w:fill="FFFFFF"/>
        </w:rPr>
        <w:t>1.近期进行</w:t>
      </w:r>
      <w:r>
        <w:rPr>
          <w:rFonts w:hint="eastAsia"/>
          <w:color w:val="auto"/>
          <w:sz w:val="28"/>
          <w:szCs w:val="28"/>
          <w:highlight w:val="none"/>
          <w:shd w:val="clear" w:color="auto" w:fill="FFFFFF"/>
          <w:lang w:val="en-US" w:eastAsia="zh-CN"/>
        </w:rPr>
        <w:t>阳山县管道燃气</w:t>
      </w:r>
      <w:r>
        <w:rPr>
          <w:rFonts w:hint="eastAsia"/>
          <w:color w:val="auto"/>
          <w:sz w:val="28"/>
          <w:szCs w:val="28"/>
          <w:highlight w:val="none"/>
          <w:shd w:val="clear" w:color="auto" w:fill="FFFFFF"/>
        </w:rPr>
        <w:t>特许经营</w:t>
      </w:r>
      <w:r>
        <w:rPr>
          <w:rFonts w:hint="eastAsia"/>
          <w:color w:val="auto"/>
          <w:sz w:val="28"/>
          <w:szCs w:val="28"/>
          <w:highlight w:val="none"/>
          <w:shd w:val="clear" w:color="auto" w:fill="FFFFFF"/>
          <w:lang w:val="en-US" w:eastAsia="zh-CN"/>
        </w:rPr>
        <w:t>者</w:t>
      </w:r>
      <w:r>
        <w:rPr>
          <w:rFonts w:hint="eastAsia"/>
          <w:color w:val="auto"/>
          <w:sz w:val="28"/>
          <w:szCs w:val="28"/>
          <w:highlight w:val="none"/>
          <w:shd w:val="clear" w:color="auto" w:fill="FFFFFF"/>
        </w:rPr>
        <w:t>选定，确定特许经营</w:t>
      </w:r>
      <w:r>
        <w:rPr>
          <w:rFonts w:hint="eastAsia"/>
          <w:color w:val="auto"/>
          <w:sz w:val="28"/>
          <w:szCs w:val="28"/>
          <w:highlight w:val="none"/>
          <w:shd w:val="clear" w:color="auto" w:fill="FFFFFF"/>
          <w:lang w:val="en-US" w:eastAsia="zh-CN"/>
        </w:rPr>
        <w:t>者</w:t>
      </w:r>
      <w:r>
        <w:rPr>
          <w:rFonts w:hint="eastAsia"/>
          <w:color w:val="auto"/>
          <w:sz w:val="28"/>
          <w:szCs w:val="28"/>
          <w:highlight w:val="none"/>
          <w:shd w:val="clear" w:color="auto" w:fill="FFFFFF"/>
        </w:rPr>
        <w:t>后组建项目公司</w:t>
      </w:r>
      <w:r>
        <w:rPr>
          <w:rFonts w:hint="eastAsia"/>
          <w:color w:val="auto"/>
          <w:sz w:val="28"/>
          <w:szCs w:val="28"/>
          <w:highlight w:val="none"/>
          <w:shd w:val="clear" w:color="auto" w:fill="FFFFFF"/>
          <w:lang w:eastAsia="zh-CN"/>
        </w:rPr>
        <w:t>，</w:t>
      </w:r>
      <w:r>
        <w:rPr>
          <w:rFonts w:hint="eastAsia"/>
          <w:color w:val="auto"/>
          <w:sz w:val="28"/>
          <w:szCs w:val="28"/>
          <w:highlight w:val="none"/>
          <w:shd w:val="clear" w:color="auto" w:fill="FFFFFF"/>
          <w:lang w:val="en-US" w:eastAsia="zh-CN"/>
        </w:rPr>
        <w:t>项目公司近期</w:t>
      </w:r>
      <w:r>
        <w:rPr>
          <w:rFonts w:hint="eastAsia"/>
          <w:color w:val="auto"/>
          <w:sz w:val="28"/>
          <w:szCs w:val="28"/>
          <w:highlight w:val="none"/>
          <w:shd w:val="clear" w:color="auto" w:fill="FFFFFF"/>
        </w:rPr>
        <w:t>对阳山县城规划区域进行开发，并建设配套中压管网，覆盖县城规划区域内的用户。项目公司依法取得</w:t>
      </w:r>
      <w:r>
        <w:rPr>
          <w:rFonts w:hint="eastAsia"/>
          <w:color w:val="auto"/>
          <w:sz w:val="28"/>
          <w:szCs w:val="28"/>
          <w:highlight w:val="none"/>
          <w:shd w:val="clear" w:color="auto" w:fill="FFFFFF"/>
          <w:lang w:val="en-US" w:eastAsia="zh-CN"/>
        </w:rPr>
        <w:t>建站土地</w:t>
      </w:r>
      <w:r>
        <w:rPr>
          <w:rFonts w:hint="eastAsia"/>
          <w:color w:val="auto"/>
          <w:sz w:val="28"/>
          <w:szCs w:val="28"/>
          <w:highlight w:val="none"/>
          <w:shd w:val="clear" w:color="auto" w:fill="FFFFFF"/>
        </w:rPr>
        <w:t>后</w:t>
      </w:r>
      <w:r>
        <w:rPr>
          <w:rFonts w:hint="eastAsia"/>
          <w:color w:val="auto"/>
          <w:sz w:val="28"/>
          <w:szCs w:val="28"/>
          <w:highlight w:val="none"/>
          <w:shd w:val="clear" w:color="auto" w:fill="FFFFFF"/>
          <w:lang w:val="en-US" w:eastAsia="zh-CN"/>
        </w:rPr>
        <w:t>的3个月内开工建设</w:t>
      </w:r>
      <w:r>
        <w:rPr>
          <w:rFonts w:hint="eastAsia"/>
          <w:color w:val="auto"/>
          <w:sz w:val="28"/>
          <w:szCs w:val="28"/>
          <w:highlight w:val="none"/>
          <w:shd w:val="clear" w:color="auto" w:fill="FFFFFF"/>
        </w:rPr>
        <w:t>，</w:t>
      </w:r>
      <w:r>
        <w:rPr>
          <w:rFonts w:hint="eastAsia"/>
          <w:color w:val="auto"/>
          <w:sz w:val="28"/>
          <w:szCs w:val="28"/>
          <w:highlight w:val="none"/>
          <w:shd w:val="clear" w:color="auto" w:fill="FFFFFF"/>
          <w:lang w:val="en-US" w:eastAsia="zh-CN"/>
        </w:rPr>
        <w:t>自动工之日起一年内力争</w:t>
      </w:r>
      <w:r>
        <w:rPr>
          <w:rFonts w:hint="eastAsia"/>
          <w:color w:val="auto"/>
          <w:sz w:val="28"/>
          <w:szCs w:val="28"/>
          <w:highlight w:val="none"/>
          <w:shd w:val="clear" w:color="auto" w:fill="FFFFFF"/>
        </w:rPr>
        <w:t>建设LNG气化站</w:t>
      </w:r>
      <w:r>
        <w:rPr>
          <w:rFonts w:hint="eastAsia"/>
          <w:color w:val="auto"/>
          <w:sz w:val="28"/>
          <w:szCs w:val="28"/>
          <w:highlight w:val="none"/>
          <w:shd w:val="clear" w:color="auto" w:fill="FFFFFF"/>
          <w:lang w:val="en-US" w:eastAsia="zh-CN"/>
        </w:rPr>
        <w:t>一座、完成阳山县中心城区内管道燃气50%管网建设并点火通气</w:t>
      </w:r>
      <w:r>
        <w:rPr>
          <w:rFonts w:hint="eastAsia"/>
          <w:color w:val="auto"/>
          <w:sz w:val="28"/>
          <w:szCs w:val="28"/>
          <w:highlight w:val="none"/>
          <w:shd w:val="clear" w:color="auto" w:fill="FFFFFF"/>
          <w:lang w:eastAsia="zh-CN"/>
        </w:rPr>
        <w:t>，</w:t>
      </w:r>
      <w:r>
        <w:rPr>
          <w:rFonts w:hint="eastAsia"/>
          <w:color w:val="auto"/>
          <w:sz w:val="28"/>
          <w:szCs w:val="28"/>
          <w:highlight w:val="none"/>
          <w:shd w:val="clear" w:color="auto" w:fill="FFFFFF"/>
        </w:rPr>
        <w:t>根据市场情况，建设L-CNG加气站1座，与LNG气化站合建。</w:t>
      </w:r>
    </w:p>
    <w:p>
      <w:pPr>
        <w:pStyle w:val="22"/>
        <w:widowControl/>
        <w:shd w:val="clear" w:color="auto" w:fill="FFFFFF"/>
        <w:spacing w:beforeAutospacing="0" w:afterAutospacing="0" w:line="360" w:lineRule="atLeast"/>
        <w:ind w:firstLine="420"/>
        <w:rPr>
          <w:color w:val="auto"/>
          <w:sz w:val="28"/>
          <w:szCs w:val="28"/>
          <w:highlight w:val="none"/>
          <w:shd w:val="clear" w:color="auto" w:fill="FFFFFF"/>
        </w:rPr>
      </w:pPr>
      <w:r>
        <w:rPr>
          <w:rFonts w:hint="eastAsia"/>
          <w:color w:val="auto"/>
          <w:sz w:val="28"/>
          <w:szCs w:val="28"/>
          <w:highlight w:val="none"/>
          <w:shd w:val="clear" w:color="auto" w:fill="FFFFFF"/>
        </w:rPr>
        <w:t>2.中期根据市场发展情况扩建LNG气化站，满足用户发展需求。</w:t>
      </w:r>
      <w:r>
        <w:rPr>
          <w:rFonts w:hint="eastAsia"/>
          <w:color w:val="auto"/>
          <w:sz w:val="28"/>
          <w:szCs w:val="28"/>
          <w:highlight w:val="none"/>
          <w:shd w:val="clear" w:color="auto" w:fill="FFFFFF"/>
          <w:lang w:val="en-US" w:eastAsia="zh-CN"/>
        </w:rPr>
        <w:t>逐步对阳山县三大中心镇（阳城、黎埠、七拱）等进行开发，力争将燃气管道建设及业务扩展到全县行政区域，逐步形成覆盖全县的燃气管网</w:t>
      </w:r>
      <w:r>
        <w:rPr>
          <w:rFonts w:hint="eastAsia"/>
          <w:color w:val="auto"/>
          <w:sz w:val="28"/>
          <w:szCs w:val="28"/>
          <w:highlight w:val="none"/>
          <w:shd w:val="clear" w:color="auto" w:fill="FFFFFF"/>
        </w:rPr>
        <w:t>。根据市场情况，新建设L-CNG加气站1座。</w:t>
      </w:r>
    </w:p>
    <w:p>
      <w:pPr>
        <w:pStyle w:val="22"/>
        <w:widowControl/>
        <w:shd w:val="clear" w:color="auto" w:fill="FFFFFF"/>
        <w:spacing w:beforeAutospacing="0" w:afterAutospacing="0" w:line="360" w:lineRule="atLeast"/>
        <w:ind w:firstLine="420"/>
        <w:rPr>
          <w:color w:val="auto"/>
          <w:highlight w:val="none"/>
        </w:rPr>
      </w:pPr>
      <w:r>
        <w:rPr>
          <w:rFonts w:hint="eastAsia"/>
          <w:color w:val="auto"/>
          <w:sz w:val="28"/>
          <w:szCs w:val="28"/>
          <w:highlight w:val="none"/>
          <w:shd w:val="clear" w:color="auto" w:fill="FFFFFF"/>
        </w:rPr>
        <w:t>3.远期结合高压长输管线的建设情况，适时建设天然气门站1座，配套高压管道（县域内），并继续发展用户并完善中压管网。</w:t>
      </w:r>
    </w:p>
    <w:p>
      <w:pPr>
        <w:pStyle w:val="3"/>
        <w:rPr>
          <w:color w:val="auto"/>
          <w:highlight w:val="none"/>
        </w:rPr>
      </w:pPr>
      <w:bookmarkStart w:id="16" w:name="_Toc27136"/>
      <w:bookmarkStart w:id="17" w:name="_Toc24896"/>
      <w:r>
        <w:rPr>
          <w:rFonts w:hint="eastAsia"/>
          <w:color w:val="auto"/>
          <w:highlight w:val="none"/>
        </w:rPr>
        <w:t>六.特许经营权的范围</w:t>
      </w:r>
      <w:bookmarkEnd w:id="15"/>
      <w:bookmarkEnd w:id="16"/>
      <w:bookmarkEnd w:id="17"/>
    </w:p>
    <w:p>
      <w:pPr>
        <w:autoSpaceDE w:val="0"/>
        <w:autoSpaceDN w:val="0"/>
        <w:adjustRightInd w:val="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1.</w:t>
      </w:r>
      <w:r>
        <w:rPr>
          <w:rFonts w:hint="eastAsia" w:cs="Times New Roman"/>
          <w:color w:val="auto"/>
          <w:kern w:val="0"/>
          <w:sz w:val="28"/>
          <w:szCs w:val="28"/>
          <w:highlight w:val="none"/>
          <w:shd w:val="clear" w:color="auto" w:fill="FFFFFF"/>
          <w:lang w:val="en-US" w:eastAsia="zh-CN"/>
        </w:rPr>
        <w:t>经营区域</w:t>
      </w:r>
    </w:p>
    <w:p>
      <w:pPr>
        <w:numPr>
          <w:ilvl w:val="0"/>
          <w:numId w:val="0"/>
        </w:numPr>
        <w:autoSpaceDE w:val="0"/>
        <w:autoSpaceDN w:val="0"/>
        <w:adjustRightInd w:val="0"/>
        <w:ind w:firstLine="560"/>
        <w:jc w:val="left"/>
        <w:rPr>
          <w:rFonts w:hint="eastAsia"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本项目的</w:t>
      </w:r>
      <w:r>
        <w:rPr>
          <w:rFonts w:hint="eastAsia" w:cs="Times New Roman"/>
          <w:color w:val="auto"/>
          <w:kern w:val="0"/>
          <w:sz w:val="28"/>
          <w:szCs w:val="28"/>
          <w:highlight w:val="none"/>
          <w:shd w:val="clear" w:color="auto" w:fill="FFFFFF"/>
          <w:lang w:val="en-US" w:eastAsia="zh-CN"/>
        </w:rPr>
        <w:t>特许经营区域</w:t>
      </w:r>
      <w:r>
        <w:rPr>
          <w:rFonts w:hint="eastAsia" w:cs="Times New Roman"/>
          <w:color w:val="auto"/>
          <w:kern w:val="0"/>
          <w:sz w:val="28"/>
          <w:szCs w:val="28"/>
          <w:highlight w:val="none"/>
          <w:shd w:val="clear" w:color="auto" w:fill="FFFFFF"/>
        </w:rPr>
        <w:t>包括阳山县</w:t>
      </w:r>
      <w:r>
        <w:rPr>
          <w:rFonts w:hint="eastAsia" w:cs="Times New Roman"/>
          <w:color w:val="auto"/>
          <w:kern w:val="0"/>
          <w:sz w:val="28"/>
          <w:szCs w:val="28"/>
          <w:highlight w:val="none"/>
          <w:shd w:val="clear" w:color="auto" w:fill="FFFFFF"/>
          <w:lang w:val="en-US" w:eastAsia="zh-CN"/>
        </w:rPr>
        <w:t>所有</w:t>
      </w:r>
      <w:r>
        <w:rPr>
          <w:rFonts w:hint="eastAsia" w:cs="Times New Roman"/>
          <w:color w:val="auto"/>
          <w:kern w:val="0"/>
          <w:sz w:val="28"/>
          <w:szCs w:val="28"/>
          <w:highlight w:val="none"/>
          <w:shd w:val="clear" w:color="auto" w:fill="FFFFFF"/>
        </w:rPr>
        <w:t>行政区域</w:t>
      </w:r>
      <w:r>
        <w:rPr>
          <w:rFonts w:hint="eastAsia" w:cs="Times New Roman"/>
          <w:color w:val="auto"/>
          <w:kern w:val="0"/>
          <w:sz w:val="28"/>
          <w:szCs w:val="28"/>
          <w:highlight w:val="none"/>
          <w:shd w:val="clear" w:color="auto" w:fill="FFFFFF"/>
          <w:lang w:eastAsia="zh-CN"/>
        </w:rPr>
        <w:t>（</w:t>
      </w:r>
      <w:r>
        <w:rPr>
          <w:rFonts w:hint="eastAsia" w:cs="Times New Roman"/>
          <w:color w:val="auto"/>
          <w:kern w:val="0"/>
          <w:sz w:val="28"/>
          <w:szCs w:val="28"/>
          <w:highlight w:val="none"/>
          <w:shd w:val="clear" w:color="auto" w:fill="FFFFFF"/>
        </w:rPr>
        <w:t>包括该行政区域内其他各行政区、开发区、产业园及城镇、乡等</w:t>
      </w:r>
      <w:r>
        <w:rPr>
          <w:rFonts w:hint="eastAsia" w:cs="Times New Roman"/>
          <w:color w:val="auto"/>
          <w:kern w:val="0"/>
          <w:sz w:val="28"/>
          <w:szCs w:val="28"/>
          <w:highlight w:val="none"/>
          <w:shd w:val="clear" w:color="auto" w:fill="FFFFFF"/>
          <w:lang w:eastAsia="zh-CN"/>
        </w:rPr>
        <w:t>）</w:t>
      </w:r>
      <w:r>
        <w:rPr>
          <w:rFonts w:hint="eastAsia" w:cs="Times New Roman"/>
          <w:color w:val="auto"/>
          <w:kern w:val="0"/>
          <w:sz w:val="28"/>
          <w:szCs w:val="28"/>
          <w:highlight w:val="none"/>
          <w:shd w:val="clear" w:color="auto" w:fill="FFFFFF"/>
        </w:rPr>
        <w:t>。</w:t>
      </w:r>
    </w:p>
    <w:p>
      <w:pPr>
        <w:numPr>
          <w:ilvl w:val="0"/>
          <w:numId w:val="0"/>
        </w:numPr>
        <w:autoSpaceDE w:val="0"/>
        <w:autoSpaceDN w:val="0"/>
        <w:adjustRightInd w:val="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lang w:val="en-US" w:eastAsia="zh-CN"/>
        </w:rPr>
        <w:t>2.</w:t>
      </w:r>
      <w:r>
        <w:rPr>
          <w:rFonts w:hint="eastAsia" w:cs="Times New Roman"/>
          <w:color w:val="auto"/>
          <w:kern w:val="0"/>
          <w:sz w:val="28"/>
          <w:szCs w:val="28"/>
          <w:highlight w:val="none"/>
          <w:shd w:val="clear" w:color="auto" w:fill="FFFFFF"/>
        </w:rPr>
        <w:t>经营范围</w:t>
      </w:r>
    </w:p>
    <w:p>
      <w:pPr>
        <w:spacing w:line="360" w:lineRule="auto"/>
        <w:ind w:firstLine="560" w:firstLineChars="200"/>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独家在特许经营区域范围内投资、建设、运营、维护市政管道燃气设施、以管道输送形式向用户供应燃气，提供相关管道燃气设施的抢修抢险业务等并收取费用；独家投资、建设及运营汽车加气站。</w:t>
      </w:r>
    </w:p>
    <w:p>
      <w:pPr>
        <w:spacing w:line="360" w:lineRule="auto"/>
        <w:ind w:firstLine="560" w:firstLineChars="200"/>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具体内容如下：</w:t>
      </w:r>
    </w:p>
    <w:p>
      <w:pPr>
        <w:autoSpaceDE w:val="0"/>
        <w:autoSpaceDN w:val="0"/>
        <w:adjustRightInd w:val="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（1）</w:t>
      </w:r>
      <w:r>
        <w:rPr>
          <w:rFonts w:hint="eastAsia" w:cs="Times New Roman"/>
          <w:color w:val="auto"/>
          <w:kern w:val="0"/>
          <w:sz w:val="28"/>
          <w:szCs w:val="28"/>
          <w:highlight w:val="none"/>
          <w:shd w:val="clear" w:color="auto" w:fill="FFFFFF"/>
          <w:lang w:val="en-US" w:eastAsia="zh-CN"/>
        </w:rPr>
        <w:t>阳山县行政</w:t>
      </w:r>
      <w:r>
        <w:rPr>
          <w:rFonts w:hint="eastAsia" w:cs="Times New Roman"/>
          <w:color w:val="auto"/>
          <w:kern w:val="0"/>
          <w:sz w:val="28"/>
          <w:szCs w:val="28"/>
          <w:highlight w:val="none"/>
          <w:shd w:val="clear" w:color="auto" w:fill="FFFFFF"/>
        </w:rPr>
        <w:t>区域内管道燃气设施的建设</w:t>
      </w:r>
      <w:r>
        <w:rPr>
          <w:rFonts w:hint="eastAsia" w:cs="Times New Roman"/>
          <w:color w:val="auto"/>
          <w:kern w:val="0"/>
          <w:sz w:val="28"/>
          <w:szCs w:val="28"/>
          <w:highlight w:val="none"/>
          <w:shd w:val="clear" w:color="auto" w:fill="FFFFFF"/>
          <w:lang w:val="en-US" w:eastAsia="zh-CN"/>
        </w:rPr>
        <w:t>与</w:t>
      </w:r>
      <w:r>
        <w:rPr>
          <w:rFonts w:hint="eastAsia" w:cs="Times New Roman"/>
          <w:color w:val="auto"/>
          <w:kern w:val="0"/>
          <w:sz w:val="28"/>
          <w:szCs w:val="28"/>
          <w:highlight w:val="none"/>
          <w:shd w:val="clear" w:color="auto" w:fill="FFFFFF"/>
        </w:rPr>
        <w:t>经营。</w:t>
      </w:r>
    </w:p>
    <w:p>
      <w:pPr>
        <w:autoSpaceDE w:val="0"/>
        <w:autoSpaceDN w:val="0"/>
        <w:adjustRightInd w:val="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（2）汽车加气站的建设</w:t>
      </w:r>
      <w:r>
        <w:rPr>
          <w:rFonts w:hint="eastAsia" w:cs="Times New Roman"/>
          <w:color w:val="auto"/>
          <w:kern w:val="0"/>
          <w:sz w:val="28"/>
          <w:szCs w:val="28"/>
          <w:highlight w:val="none"/>
          <w:shd w:val="clear" w:color="auto" w:fill="FFFFFF"/>
          <w:lang w:val="en-US" w:eastAsia="zh-CN"/>
        </w:rPr>
        <w:t>与</w:t>
      </w:r>
      <w:r>
        <w:rPr>
          <w:rFonts w:hint="eastAsia" w:cs="Times New Roman"/>
          <w:color w:val="auto"/>
          <w:kern w:val="0"/>
          <w:sz w:val="28"/>
          <w:szCs w:val="28"/>
          <w:highlight w:val="none"/>
          <w:shd w:val="clear" w:color="auto" w:fill="FFFFFF"/>
        </w:rPr>
        <w:t>经营。</w:t>
      </w:r>
    </w:p>
    <w:p>
      <w:pPr>
        <w:autoSpaceDE w:val="0"/>
        <w:autoSpaceDN w:val="0"/>
        <w:adjustRightInd w:val="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（3）</w:t>
      </w:r>
      <w:r>
        <w:rPr>
          <w:rFonts w:hint="eastAsia" w:cs="Times New Roman"/>
          <w:color w:val="auto"/>
          <w:kern w:val="0"/>
          <w:sz w:val="28"/>
          <w:szCs w:val="28"/>
          <w:highlight w:val="none"/>
          <w:shd w:val="clear" w:color="auto" w:fill="FFFFFF"/>
          <w:lang w:val="en-US" w:eastAsia="zh-CN"/>
        </w:rPr>
        <w:t>建设与经营</w:t>
      </w:r>
      <w:r>
        <w:rPr>
          <w:rFonts w:hint="eastAsia" w:cs="Times New Roman"/>
          <w:color w:val="auto"/>
          <w:kern w:val="0"/>
          <w:sz w:val="28"/>
          <w:szCs w:val="28"/>
          <w:highlight w:val="none"/>
          <w:shd w:val="clear" w:color="auto" w:fill="FFFFFF"/>
        </w:rPr>
        <w:t>接收上游气源的门站、管道</w:t>
      </w:r>
      <w:r>
        <w:rPr>
          <w:rFonts w:hint="eastAsia" w:cs="Times New Roman"/>
          <w:color w:val="auto"/>
          <w:kern w:val="0"/>
          <w:sz w:val="28"/>
          <w:szCs w:val="28"/>
          <w:highlight w:val="none"/>
          <w:shd w:val="clear" w:color="auto" w:fill="FFFFFF"/>
          <w:lang w:val="en-US" w:eastAsia="zh-CN"/>
        </w:rPr>
        <w:t>及</w:t>
      </w:r>
      <w:r>
        <w:rPr>
          <w:rFonts w:hint="eastAsia" w:cs="Times New Roman"/>
          <w:color w:val="auto"/>
          <w:kern w:val="0"/>
          <w:sz w:val="28"/>
          <w:szCs w:val="28"/>
          <w:highlight w:val="none"/>
          <w:shd w:val="clear" w:color="auto" w:fill="FFFFFF"/>
        </w:rPr>
        <w:t>储气</w:t>
      </w:r>
      <w:r>
        <w:rPr>
          <w:rFonts w:hint="eastAsia" w:cs="Times New Roman"/>
          <w:color w:val="auto"/>
          <w:kern w:val="0"/>
          <w:sz w:val="28"/>
          <w:szCs w:val="28"/>
          <w:highlight w:val="none"/>
          <w:shd w:val="clear" w:color="auto" w:fill="FFFFFF"/>
          <w:lang w:val="en-US" w:eastAsia="zh-CN"/>
        </w:rPr>
        <w:t>设施</w:t>
      </w:r>
      <w:r>
        <w:rPr>
          <w:rFonts w:hint="eastAsia" w:cs="Times New Roman"/>
          <w:color w:val="auto"/>
          <w:kern w:val="0"/>
          <w:sz w:val="28"/>
          <w:szCs w:val="28"/>
          <w:highlight w:val="none"/>
          <w:shd w:val="clear" w:color="auto" w:fill="FFFFFF"/>
        </w:rPr>
        <w:t>。</w:t>
      </w:r>
    </w:p>
    <w:p>
      <w:pPr>
        <w:autoSpaceDE w:val="0"/>
        <w:autoSpaceDN w:val="0"/>
        <w:adjustRightInd w:val="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（4）阳山县</w:t>
      </w:r>
      <w:r>
        <w:rPr>
          <w:rFonts w:hint="eastAsia" w:cs="Times New Roman"/>
          <w:color w:val="auto"/>
          <w:kern w:val="0"/>
          <w:sz w:val="28"/>
          <w:szCs w:val="28"/>
          <w:highlight w:val="none"/>
          <w:shd w:val="clear" w:color="auto" w:fill="FFFFFF"/>
          <w:lang w:val="en-US" w:eastAsia="zh-CN"/>
        </w:rPr>
        <w:t>城市</w:t>
      </w:r>
      <w:r>
        <w:rPr>
          <w:rFonts w:hint="eastAsia" w:cs="Times New Roman"/>
          <w:color w:val="auto"/>
          <w:kern w:val="0"/>
          <w:sz w:val="28"/>
          <w:szCs w:val="28"/>
          <w:highlight w:val="none"/>
          <w:shd w:val="clear" w:color="auto" w:fill="FFFFFF"/>
        </w:rPr>
        <w:t>管道燃气高压</w:t>
      </w:r>
      <w:r>
        <w:rPr>
          <w:rFonts w:hint="eastAsia" w:cs="Times New Roman"/>
          <w:color w:val="auto"/>
          <w:kern w:val="0"/>
          <w:sz w:val="28"/>
          <w:szCs w:val="28"/>
          <w:highlight w:val="none"/>
          <w:shd w:val="clear" w:color="auto" w:fill="FFFFFF"/>
          <w:lang w:val="en-US" w:eastAsia="zh-CN"/>
        </w:rPr>
        <w:t>环网</w:t>
      </w:r>
      <w:r>
        <w:rPr>
          <w:rFonts w:hint="eastAsia" w:cs="Times New Roman"/>
          <w:color w:val="auto"/>
          <w:kern w:val="0"/>
          <w:sz w:val="28"/>
          <w:szCs w:val="28"/>
          <w:highlight w:val="none"/>
          <w:shd w:val="clear" w:color="auto" w:fill="FFFFFF"/>
        </w:rPr>
        <w:t>的建设</w:t>
      </w:r>
      <w:r>
        <w:rPr>
          <w:rFonts w:hint="eastAsia" w:cs="Times New Roman"/>
          <w:color w:val="auto"/>
          <w:kern w:val="0"/>
          <w:sz w:val="28"/>
          <w:szCs w:val="28"/>
          <w:highlight w:val="none"/>
          <w:shd w:val="clear" w:color="auto" w:fill="FFFFFF"/>
          <w:lang w:val="en-US" w:eastAsia="zh-CN"/>
        </w:rPr>
        <w:t>与</w:t>
      </w:r>
      <w:r>
        <w:rPr>
          <w:rFonts w:hint="eastAsia" w:cs="Times New Roman"/>
          <w:color w:val="auto"/>
          <w:kern w:val="0"/>
          <w:sz w:val="28"/>
          <w:szCs w:val="28"/>
          <w:highlight w:val="none"/>
          <w:shd w:val="clear" w:color="auto" w:fill="FFFFFF"/>
        </w:rPr>
        <w:t>经营。</w:t>
      </w:r>
    </w:p>
    <w:p>
      <w:pPr>
        <w:autoSpaceDE w:val="0"/>
        <w:autoSpaceDN w:val="0"/>
        <w:adjustRightInd w:val="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（5）分输到阳山</w:t>
      </w:r>
      <w:r>
        <w:rPr>
          <w:rFonts w:hint="eastAsia" w:cs="Times New Roman"/>
          <w:color w:val="auto"/>
          <w:kern w:val="0"/>
          <w:sz w:val="28"/>
          <w:szCs w:val="28"/>
          <w:highlight w:val="none"/>
          <w:shd w:val="clear" w:color="auto" w:fill="FFFFFF"/>
          <w:lang w:val="en-US" w:eastAsia="zh-CN"/>
        </w:rPr>
        <w:t>县</w:t>
      </w:r>
      <w:r>
        <w:rPr>
          <w:rFonts w:hint="eastAsia" w:cs="Times New Roman"/>
          <w:color w:val="auto"/>
          <w:kern w:val="0"/>
          <w:sz w:val="28"/>
          <w:szCs w:val="28"/>
          <w:highlight w:val="none"/>
          <w:shd w:val="clear" w:color="auto" w:fill="FFFFFF"/>
        </w:rPr>
        <w:t>的</w:t>
      </w:r>
      <w:r>
        <w:rPr>
          <w:rFonts w:hint="eastAsia" w:cs="Times New Roman"/>
          <w:color w:val="auto"/>
          <w:kern w:val="0"/>
          <w:sz w:val="28"/>
          <w:szCs w:val="28"/>
          <w:highlight w:val="none"/>
          <w:shd w:val="clear" w:color="auto" w:fill="FFFFFF"/>
          <w:lang w:val="en-US" w:eastAsia="zh-CN"/>
        </w:rPr>
        <w:t>管道燃气</w:t>
      </w:r>
      <w:r>
        <w:rPr>
          <w:rFonts w:hint="eastAsia" w:cs="Times New Roman"/>
          <w:color w:val="auto"/>
          <w:kern w:val="0"/>
          <w:sz w:val="28"/>
          <w:szCs w:val="28"/>
          <w:highlight w:val="none"/>
          <w:shd w:val="clear" w:color="auto" w:fill="FFFFFF"/>
        </w:rPr>
        <w:t>高</w:t>
      </w:r>
      <w:r>
        <w:rPr>
          <w:rFonts w:hint="eastAsia" w:cs="Times New Roman"/>
          <w:color w:val="auto"/>
          <w:kern w:val="0"/>
          <w:sz w:val="28"/>
          <w:szCs w:val="28"/>
          <w:highlight w:val="none"/>
          <w:shd w:val="clear" w:color="auto" w:fill="FFFFFF"/>
          <w:lang w:val="en-US" w:eastAsia="zh-CN"/>
        </w:rPr>
        <w:t>中</w:t>
      </w:r>
      <w:r>
        <w:rPr>
          <w:rFonts w:hint="eastAsia" w:cs="Times New Roman"/>
          <w:color w:val="auto"/>
          <w:kern w:val="0"/>
          <w:sz w:val="28"/>
          <w:szCs w:val="28"/>
          <w:highlight w:val="none"/>
          <w:shd w:val="clear" w:color="auto" w:fill="FFFFFF"/>
        </w:rPr>
        <w:t>压管</w:t>
      </w:r>
      <w:r>
        <w:rPr>
          <w:rFonts w:hint="eastAsia" w:cs="Times New Roman"/>
          <w:color w:val="auto"/>
          <w:kern w:val="0"/>
          <w:sz w:val="28"/>
          <w:szCs w:val="28"/>
          <w:highlight w:val="none"/>
          <w:shd w:val="clear" w:color="auto" w:fill="FFFFFF"/>
          <w:lang w:val="en-US" w:eastAsia="zh-CN"/>
        </w:rPr>
        <w:t>线的</w:t>
      </w:r>
      <w:r>
        <w:rPr>
          <w:rFonts w:hint="eastAsia" w:cs="Times New Roman"/>
          <w:color w:val="auto"/>
          <w:kern w:val="0"/>
          <w:sz w:val="28"/>
          <w:szCs w:val="28"/>
          <w:highlight w:val="none"/>
          <w:shd w:val="clear" w:color="auto" w:fill="FFFFFF"/>
        </w:rPr>
        <w:t>建设</w:t>
      </w:r>
      <w:r>
        <w:rPr>
          <w:rFonts w:hint="eastAsia" w:cs="Times New Roman"/>
          <w:color w:val="auto"/>
          <w:kern w:val="0"/>
          <w:sz w:val="28"/>
          <w:szCs w:val="28"/>
          <w:highlight w:val="none"/>
          <w:shd w:val="clear" w:color="auto" w:fill="FFFFFF"/>
          <w:lang w:val="en-US" w:eastAsia="zh-CN"/>
        </w:rPr>
        <w:t>与</w:t>
      </w:r>
      <w:r>
        <w:rPr>
          <w:rFonts w:hint="eastAsia" w:cs="Times New Roman"/>
          <w:color w:val="auto"/>
          <w:kern w:val="0"/>
          <w:sz w:val="28"/>
          <w:szCs w:val="28"/>
          <w:highlight w:val="none"/>
          <w:shd w:val="clear" w:color="auto" w:fill="FFFFFF"/>
        </w:rPr>
        <w:t>经营。</w:t>
      </w:r>
    </w:p>
    <w:p>
      <w:pPr>
        <w:autoSpaceDE w:val="0"/>
        <w:autoSpaceDN w:val="0"/>
        <w:adjustRightInd w:val="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（6）</w:t>
      </w:r>
      <w:r>
        <w:rPr>
          <w:rFonts w:hint="eastAsia" w:cs="Times New Roman"/>
          <w:color w:val="auto"/>
          <w:kern w:val="0"/>
          <w:sz w:val="28"/>
          <w:szCs w:val="28"/>
          <w:highlight w:val="none"/>
          <w:shd w:val="clear" w:color="auto" w:fill="FFFFFF"/>
          <w:lang w:val="en-US" w:eastAsia="zh-CN"/>
        </w:rPr>
        <w:t>与前述项目相关的</w:t>
      </w:r>
      <w:r>
        <w:rPr>
          <w:rFonts w:hint="eastAsia" w:cs="Times New Roman"/>
          <w:color w:val="auto"/>
          <w:kern w:val="0"/>
          <w:sz w:val="28"/>
          <w:szCs w:val="28"/>
          <w:highlight w:val="none"/>
          <w:shd w:val="clear" w:color="auto" w:fill="FFFFFF"/>
        </w:rPr>
        <w:t>配套</w:t>
      </w:r>
      <w:r>
        <w:rPr>
          <w:rFonts w:hint="eastAsia" w:cs="Times New Roman"/>
          <w:color w:val="auto"/>
          <w:kern w:val="0"/>
          <w:sz w:val="28"/>
          <w:szCs w:val="28"/>
          <w:highlight w:val="none"/>
          <w:shd w:val="clear" w:color="auto" w:fill="FFFFFF"/>
          <w:lang w:val="en-US" w:eastAsia="zh-CN"/>
        </w:rPr>
        <w:t>设施的</w:t>
      </w:r>
      <w:r>
        <w:rPr>
          <w:rFonts w:hint="eastAsia" w:cs="Times New Roman"/>
          <w:color w:val="auto"/>
          <w:kern w:val="0"/>
          <w:sz w:val="28"/>
          <w:szCs w:val="28"/>
          <w:highlight w:val="none"/>
          <w:shd w:val="clear" w:color="auto" w:fill="FFFFFF"/>
        </w:rPr>
        <w:t>建设</w:t>
      </w:r>
      <w:r>
        <w:rPr>
          <w:rFonts w:hint="eastAsia" w:cs="Times New Roman"/>
          <w:color w:val="auto"/>
          <w:kern w:val="0"/>
          <w:sz w:val="28"/>
          <w:szCs w:val="28"/>
          <w:highlight w:val="none"/>
          <w:shd w:val="clear" w:color="auto" w:fill="FFFFFF"/>
          <w:lang w:val="en-US" w:eastAsia="zh-CN"/>
        </w:rPr>
        <w:t>与</w:t>
      </w:r>
      <w:r>
        <w:rPr>
          <w:rFonts w:hint="eastAsia" w:cs="Times New Roman"/>
          <w:color w:val="auto"/>
          <w:kern w:val="0"/>
          <w:sz w:val="28"/>
          <w:szCs w:val="28"/>
          <w:highlight w:val="none"/>
          <w:shd w:val="clear" w:color="auto" w:fill="FFFFFF"/>
        </w:rPr>
        <w:t>经营。</w:t>
      </w:r>
    </w:p>
    <w:p>
      <w:pPr>
        <w:pStyle w:val="3"/>
        <w:rPr>
          <w:color w:val="auto"/>
          <w:highlight w:val="none"/>
        </w:rPr>
      </w:pPr>
      <w:bookmarkStart w:id="18" w:name="_Toc32153"/>
      <w:bookmarkStart w:id="19" w:name="_Toc22714"/>
      <w:bookmarkStart w:id="20" w:name="_Toc32543"/>
      <w:r>
        <w:rPr>
          <w:rFonts w:hint="eastAsia"/>
          <w:color w:val="auto"/>
          <w:highlight w:val="none"/>
        </w:rPr>
        <w:t>七.特许经营权的期限</w:t>
      </w:r>
      <w:bookmarkEnd w:id="18"/>
      <w:bookmarkEnd w:id="19"/>
      <w:bookmarkEnd w:id="20"/>
    </w:p>
    <w:p>
      <w:pPr>
        <w:autoSpaceDE w:val="0"/>
        <w:autoSpaceDN w:val="0"/>
        <w:adjustRightInd w:val="0"/>
        <w:ind w:firstLine="560"/>
        <w:jc w:val="left"/>
        <w:rPr>
          <w:rFonts w:cs="Times New Roman"/>
          <w:color w:val="auto"/>
          <w:kern w:val="0"/>
          <w:sz w:val="28"/>
          <w:szCs w:val="28"/>
          <w:highlight w:val="none"/>
          <w:shd w:val="clear" w:color="auto" w:fill="FFFFFF"/>
        </w:rPr>
      </w:pPr>
      <w:bookmarkStart w:id="21" w:name="_Toc3049"/>
      <w:r>
        <w:rPr>
          <w:rFonts w:hint="eastAsia" w:cs="Times New Roman"/>
          <w:color w:val="auto"/>
          <w:kern w:val="0"/>
          <w:sz w:val="28"/>
          <w:szCs w:val="28"/>
          <w:highlight w:val="none"/>
          <w:shd w:val="clear" w:color="auto" w:fill="FFFFFF"/>
        </w:rPr>
        <w:t>根据国家发改委</w:t>
      </w:r>
      <w:r>
        <w:rPr>
          <w:rFonts w:hint="eastAsia" w:cs="Times New Roman"/>
          <w:color w:val="auto"/>
          <w:kern w:val="0"/>
          <w:sz w:val="28"/>
          <w:szCs w:val="28"/>
          <w:highlight w:val="none"/>
          <w:shd w:val="clear" w:color="auto" w:fill="FFFFFF"/>
          <w:lang w:val="en-US" w:eastAsia="zh-CN"/>
        </w:rPr>
        <w:t>等6部委25号令</w:t>
      </w:r>
      <w:r>
        <w:rPr>
          <w:rFonts w:hint="eastAsia" w:cs="Times New Roman"/>
          <w:color w:val="auto"/>
          <w:kern w:val="0"/>
          <w:sz w:val="28"/>
          <w:szCs w:val="28"/>
          <w:highlight w:val="none"/>
          <w:shd w:val="clear" w:color="auto" w:fill="FFFFFF"/>
        </w:rPr>
        <w:t>《基础设施和公用事业特许经营管理办法》</w:t>
      </w:r>
      <w:r>
        <w:rPr>
          <w:rFonts w:hint="eastAsia" w:cs="Times New Roman"/>
          <w:color w:val="auto"/>
          <w:kern w:val="0"/>
          <w:sz w:val="28"/>
          <w:szCs w:val="28"/>
          <w:highlight w:val="none"/>
          <w:shd w:val="clear" w:color="auto" w:fill="FFFFFF"/>
          <w:lang w:val="en-US" w:eastAsia="zh-CN"/>
        </w:rPr>
        <w:t>第一章第六条</w:t>
      </w:r>
      <w:r>
        <w:rPr>
          <w:rFonts w:hint="eastAsia" w:cs="Times New Roman"/>
          <w:color w:val="auto"/>
          <w:kern w:val="0"/>
          <w:sz w:val="28"/>
          <w:szCs w:val="28"/>
          <w:highlight w:val="none"/>
          <w:shd w:val="clear" w:color="auto" w:fill="FFFFFF"/>
        </w:rPr>
        <w:t>规定，</w:t>
      </w:r>
      <w:r>
        <w:rPr>
          <w:rFonts w:hint="eastAsia" w:cs="Times New Roman"/>
          <w:color w:val="auto"/>
          <w:kern w:val="0"/>
          <w:sz w:val="28"/>
          <w:szCs w:val="28"/>
          <w:highlight w:val="none"/>
          <w:shd w:val="clear" w:color="auto" w:fill="FFFFFF"/>
          <w:lang w:val="en-US" w:eastAsia="zh-CN"/>
        </w:rPr>
        <w:t>特许</w:t>
      </w:r>
      <w:r>
        <w:rPr>
          <w:rFonts w:hint="eastAsia" w:cs="Times New Roman"/>
          <w:color w:val="auto"/>
          <w:kern w:val="0"/>
          <w:sz w:val="28"/>
          <w:szCs w:val="28"/>
          <w:highlight w:val="none"/>
          <w:shd w:val="clear" w:color="auto" w:fill="FFFFFF"/>
        </w:rPr>
        <w:t>经营期限最长</w:t>
      </w:r>
      <w:r>
        <w:rPr>
          <w:rFonts w:hint="eastAsia" w:cs="Times New Roman"/>
          <w:color w:val="auto"/>
          <w:kern w:val="0"/>
          <w:sz w:val="28"/>
          <w:szCs w:val="28"/>
          <w:highlight w:val="none"/>
          <w:shd w:val="clear" w:color="auto" w:fill="FFFFFF"/>
          <w:lang w:val="en-US" w:eastAsia="zh-CN"/>
        </w:rPr>
        <w:t>不超过</w:t>
      </w:r>
      <w:r>
        <w:rPr>
          <w:rFonts w:hint="eastAsia" w:cs="Times New Roman"/>
          <w:color w:val="auto"/>
          <w:kern w:val="0"/>
          <w:sz w:val="28"/>
          <w:szCs w:val="28"/>
          <w:highlight w:val="none"/>
          <w:shd w:val="clear" w:color="auto" w:fill="FFFFFF"/>
        </w:rPr>
        <w:t>30年</w:t>
      </w:r>
      <w:r>
        <w:rPr>
          <w:rFonts w:hint="eastAsia" w:cs="Times New Roman"/>
          <w:color w:val="auto"/>
          <w:kern w:val="0"/>
          <w:sz w:val="28"/>
          <w:szCs w:val="28"/>
          <w:highlight w:val="none"/>
          <w:shd w:val="clear" w:color="auto" w:fill="FFFFFF"/>
          <w:lang w:eastAsia="zh-CN"/>
        </w:rPr>
        <w:t>，</w:t>
      </w:r>
      <w:r>
        <w:rPr>
          <w:rFonts w:hint="eastAsia" w:cs="Times New Roman"/>
          <w:color w:val="auto"/>
          <w:kern w:val="0"/>
          <w:sz w:val="28"/>
          <w:szCs w:val="28"/>
          <w:highlight w:val="none"/>
          <w:shd w:val="clear" w:color="auto" w:fill="FFFFFF"/>
          <w:lang w:val="en-US" w:eastAsia="zh-CN"/>
        </w:rPr>
        <w:t>另可根据项目实际情况，约定超过30年的特许经营期限，故</w:t>
      </w:r>
      <w:r>
        <w:rPr>
          <w:rFonts w:hint="eastAsia" w:cs="Times New Roman"/>
          <w:color w:val="auto"/>
          <w:kern w:val="0"/>
          <w:sz w:val="28"/>
          <w:szCs w:val="28"/>
          <w:highlight w:val="none"/>
          <w:shd w:val="clear" w:color="auto" w:fill="FFFFFF"/>
        </w:rPr>
        <w:t>本项目的特许经营期限</w:t>
      </w:r>
      <w:r>
        <w:rPr>
          <w:rFonts w:hint="eastAsia" w:cs="Times New Roman"/>
          <w:color w:val="auto"/>
          <w:kern w:val="0"/>
          <w:sz w:val="28"/>
          <w:szCs w:val="28"/>
          <w:highlight w:val="none"/>
          <w:shd w:val="clear" w:color="auto" w:fill="FFFFFF"/>
          <w:lang w:val="en-US" w:eastAsia="zh-CN"/>
        </w:rPr>
        <w:t>定</w:t>
      </w:r>
      <w:r>
        <w:rPr>
          <w:rFonts w:hint="eastAsia" w:cs="Times New Roman"/>
          <w:color w:val="auto"/>
          <w:kern w:val="0"/>
          <w:sz w:val="28"/>
          <w:szCs w:val="28"/>
          <w:highlight w:val="none"/>
          <w:shd w:val="clear" w:color="auto" w:fill="FFFFFF"/>
        </w:rPr>
        <w:t>为30年，以</w:t>
      </w:r>
      <w:r>
        <w:rPr>
          <w:rFonts w:hint="eastAsia" w:cs="Times New Roman"/>
          <w:color w:val="auto"/>
          <w:kern w:val="0"/>
          <w:sz w:val="28"/>
          <w:szCs w:val="28"/>
          <w:highlight w:val="none"/>
          <w:shd w:val="clear" w:color="auto" w:fill="FFFFFF"/>
          <w:lang w:val="en-US" w:eastAsia="zh-CN"/>
        </w:rPr>
        <w:t>特许经营权协议签订生效之日起计算</w:t>
      </w:r>
      <w:r>
        <w:rPr>
          <w:rFonts w:hint="eastAsia" w:cs="Times New Roman"/>
          <w:color w:val="auto"/>
          <w:kern w:val="0"/>
          <w:sz w:val="28"/>
          <w:szCs w:val="28"/>
          <w:highlight w:val="none"/>
          <w:shd w:val="clear" w:color="auto" w:fill="FFFFFF"/>
        </w:rPr>
        <w:t>。</w:t>
      </w:r>
    </w:p>
    <w:p>
      <w:pPr>
        <w:pStyle w:val="3"/>
        <w:rPr>
          <w:color w:val="auto"/>
          <w:highlight w:val="none"/>
        </w:rPr>
      </w:pPr>
      <w:bookmarkStart w:id="22" w:name="_Toc6659"/>
      <w:r>
        <w:rPr>
          <w:rFonts w:hint="eastAsia"/>
          <w:color w:val="auto"/>
          <w:highlight w:val="none"/>
        </w:rPr>
        <w:t>八.特许经营权项目公司</w:t>
      </w:r>
      <w:bookmarkEnd w:id="21"/>
      <w:bookmarkEnd w:id="22"/>
    </w:p>
    <w:p>
      <w:pPr>
        <w:spacing w:line="360" w:lineRule="auto"/>
        <w:rPr>
          <w:color w:val="auto"/>
          <w:sz w:val="28"/>
          <w:szCs w:val="28"/>
          <w:highlight w:val="none"/>
          <w:shd w:val="clear" w:color="auto" w:fill="FFFFFF"/>
        </w:rPr>
      </w:pPr>
      <w:r>
        <w:rPr>
          <w:rFonts w:hint="eastAsia"/>
          <w:color w:val="auto"/>
          <w:sz w:val="28"/>
          <w:szCs w:val="28"/>
          <w:highlight w:val="none"/>
          <w:shd w:val="clear" w:color="auto" w:fill="FFFFFF"/>
        </w:rPr>
        <w:t xml:space="preserve">    特许经营</w:t>
      </w:r>
      <w:r>
        <w:rPr>
          <w:rFonts w:hint="eastAsia"/>
          <w:color w:val="auto"/>
          <w:sz w:val="28"/>
          <w:szCs w:val="28"/>
          <w:highlight w:val="none"/>
          <w:shd w:val="clear" w:color="auto" w:fill="FFFFFF"/>
          <w:lang w:val="en-US" w:eastAsia="zh-CN"/>
        </w:rPr>
        <w:t>者</w:t>
      </w:r>
      <w:r>
        <w:rPr>
          <w:rFonts w:hint="eastAsia"/>
          <w:color w:val="auto"/>
          <w:sz w:val="28"/>
          <w:szCs w:val="28"/>
          <w:highlight w:val="none"/>
          <w:shd w:val="clear" w:color="auto" w:fill="FFFFFF"/>
        </w:rPr>
        <w:t>选定后，</w:t>
      </w:r>
      <w:r>
        <w:rPr>
          <w:rFonts w:hint="eastAsia"/>
          <w:color w:val="auto"/>
          <w:sz w:val="28"/>
          <w:szCs w:val="28"/>
          <w:highlight w:val="none"/>
          <w:shd w:val="clear" w:color="auto" w:fill="FFFFFF"/>
          <w:lang w:val="en-US" w:eastAsia="zh-CN"/>
        </w:rPr>
        <w:t>阳山县管道燃气行政主管部门经阳山县人民政府授权与</w:t>
      </w:r>
      <w:r>
        <w:rPr>
          <w:rFonts w:hint="eastAsia"/>
          <w:color w:val="auto"/>
          <w:sz w:val="28"/>
          <w:szCs w:val="28"/>
          <w:highlight w:val="none"/>
          <w:shd w:val="clear" w:color="auto" w:fill="FFFFFF"/>
        </w:rPr>
        <w:t>特许经营</w:t>
      </w:r>
      <w:r>
        <w:rPr>
          <w:rFonts w:hint="eastAsia"/>
          <w:color w:val="auto"/>
          <w:sz w:val="28"/>
          <w:szCs w:val="28"/>
          <w:highlight w:val="none"/>
          <w:shd w:val="clear" w:color="auto" w:fill="FFFFFF"/>
          <w:lang w:val="en-US" w:eastAsia="zh-CN"/>
        </w:rPr>
        <w:t>者</w:t>
      </w:r>
      <w:r>
        <w:rPr>
          <w:rFonts w:hint="eastAsia"/>
          <w:color w:val="auto"/>
          <w:sz w:val="28"/>
          <w:szCs w:val="28"/>
          <w:highlight w:val="none"/>
          <w:shd w:val="clear" w:color="auto" w:fill="FFFFFF"/>
        </w:rPr>
        <w:t>签署特许经营协议。特许经营</w:t>
      </w:r>
      <w:r>
        <w:rPr>
          <w:rFonts w:hint="eastAsia"/>
          <w:color w:val="auto"/>
          <w:sz w:val="28"/>
          <w:szCs w:val="28"/>
          <w:highlight w:val="none"/>
          <w:shd w:val="clear" w:color="auto" w:fill="FFFFFF"/>
          <w:lang w:val="en-US" w:eastAsia="zh-CN"/>
        </w:rPr>
        <w:t>者</w:t>
      </w:r>
      <w:r>
        <w:rPr>
          <w:rFonts w:hint="eastAsia"/>
          <w:color w:val="auto"/>
          <w:sz w:val="28"/>
          <w:szCs w:val="28"/>
          <w:highlight w:val="none"/>
          <w:shd w:val="clear" w:color="auto" w:fill="FFFFFF"/>
        </w:rPr>
        <w:t>在阳山县以合资形式与政府指定</w:t>
      </w:r>
      <w:r>
        <w:rPr>
          <w:rFonts w:hint="eastAsia"/>
          <w:color w:val="auto"/>
          <w:sz w:val="28"/>
          <w:szCs w:val="28"/>
          <w:highlight w:val="none"/>
          <w:shd w:val="clear" w:color="auto" w:fill="FFFFFF"/>
          <w:lang w:val="en-US" w:eastAsia="zh-CN"/>
        </w:rPr>
        <w:t>的</w:t>
      </w:r>
      <w:r>
        <w:rPr>
          <w:rFonts w:hint="eastAsia"/>
          <w:color w:val="auto"/>
          <w:sz w:val="28"/>
          <w:szCs w:val="28"/>
          <w:highlight w:val="none"/>
          <w:shd w:val="clear" w:color="auto" w:fill="FFFFFF"/>
        </w:rPr>
        <w:t>县属企业共同投资成立项目公司，并及时向项目公司缴纳注册资本金。</w:t>
      </w:r>
      <w:r>
        <w:rPr>
          <w:rFonts w:hint="eastAsia"/>
          <w:color w:val="auto"/>
          <w:sz w:val="28"/>
          <w:szCs w:val="28"/>
          <w:highlight w:val="none"/>
          <w:shd w:val="clear" w:color="auto" w:fill="FFFFFF"/>
          <w:lang w:val="en-US" w:eastAsia="zh-CN"/>
        </w:rPr>
        <w:t>项目公司的注册资本定为2750万元人民币，其中：</w:t>
      </w:r>
      <w:r>
        <w:rPr>
          <w:rFonts w:hint="eastAsia"/>
          <w:color w:val="auto"/>
          <w:sz w:val="28"/>
          <w:szCs w:val="28"/>
          <w:highlight w:val="none"/>
          <w:shd w:val="clear" w:color="auto" w:fill="FFFFFF"/>
        </w:rPr>
        <w:t>特许经营</w:t>
      </w:r>
      <w:r>
        <w:rPr>
          <w:rFonts w:hint="eastAsia"/>
          <w:color w:val="auto"/>
          <w:sz w:val="28"/>
          <w:szCs w:val="28"/>
          <w:highlight w:val="none"/>
          <w:shd w:val="clear" w:color="auto" w:fill="FFFFFF"/>
          <w:lang w:val="en-US" w:eastAsia="zh-CN"/>
        </w:rPr>
        <w:t>者</w:t>
      </w:r>
      <w:r>
        <w:rPr>
          <w:rFonts w:hint="eastAsia"/>
          <w:color w:val="auto"/>
          <w:sz w:val="28"/>
          <w:szCs w:val="28"/>
          <w:highlight w:val="none"/>
          <w:shd w:val="clear" w:color="auto" w:fill="FFFFFF"/>
        </w:rPr>
        <w:t>占项目公司注册资本的70%，政府指定</w:t>
      </w:r>
      <w:r>
        <w:rPr>
          <w:rFonts w:hint="eastAsia"/>
          <w:color w:val="auto"/>
          <w:sz w:val="28"/>
          <w:szCs w:val="28"/>
          <w:highlight w:val="none"/>
          <w:shd w:val="clear" w:color="auto" w:fill="FFFFFF"/>
          <w:lang w:val="en-US" w:eastAsia="zh-CN"/>
        </w:rPr>
        <w:t>的</w:t>
      </w:r>
      <w:r>
        <w:rPr>
          <w:rFonts w:hint="eastAsia"/>
          <w:color w:val="auto"/>
          <w:sz w:val="28"/>
          <w:szCs w:val="28"/>
          <w:highlight w:val="none"/>
          <w:shd w:val="clear" w:color="auto" w:fill="FFFFFF"/>
        </w:rPr>
        <w:t>县属企业占项目公司注册资本的30%。</w:t>
      </w:r>
    </w:p>
    <w:p>
      <w:pPr>
        <w:spacing w:line="360" w:lineRule="auto"/>
        <w:ind w:firstLine="560"/>
        <w:rPr>
          <w:rFonts w:hint="eastAsia"/>
          <w:color w:val="auto"/>
          <w:sz w:val="28"/>
          <w:szCs w:val="28"/>
          <w:highlight w:val="none"/>
          <w:shd w:val="clear" w:color="auto" w:fill="FFFFFF"/>
        </w:rPr>
      </w:pPr>
      <w:r>
        <w:rPr>
          <w:rFonts w:hint="eastAsia"/>
          <w:color w:val="auto"/>
          <w:sz w:val="28"/>
          <w:szCs w:val="28"/>
          <w:highlight w:val="none"/>
          <w:shd w:val="clear" w:color="auto" w:fill="FFFFFF"/>
        </w:rPr>
        <w:t>在特许经营</w:t>
      </w:r>
      <w:r>
        <w:rPr>
          <w:rFonts w:hint="eastAsia"/>
          <w:color w:val="auto"/>
          <w:sz w:val="28"/>
          <w:szCs w:val="28"/>
          <w:highlight w:val="none"/>
          <w:shd w:val="clear" w:color="auto" w:fill="FFFFFF"/>
          <w:lang w:val="en-US" w:eastAsia="zh-CN"/>
        </w:rPr>
        <w:t>者</w:t>
      </w:r>
      <w:r>
        <w:rPr>
          <w:rFonts w:hint="eastAsia"/>
          <w:color w:val="auto"/>
          <w:sz w:val="28"/>
          <w:szCs w:val="28"/>
          <w:highlight w:val="none"/>
          <w:shd w:val="clear" w:color="auto" w:fill="FFFFFF"/>
        </w:rPr>
        <w:t>对项目公司出资到位后，项目公司应向政府</w:t>
      </w:r>
      <w:r>
        <w:rPr>
          <w:rFonts w:hint="eastAsia"/>
          <w:color w:val="auto"/>
          <w:sz w:val="28"/>
          <w:szCs w:val="28"/>
          <w:highlight w:val="none"/>
          <w:shd w:val="clear" w:color="auto" w:fill="FFFFFF"/>
          <w:lang w:val="en-US" w:eastAsia="zh-CN"/>
        </w:rPr>
        <w:t>或其</w:t>
      </w:r>
      <w:r>
        <w:rPr>
          <w:rFonts w:hint="eastAsia"/>
          <w:color w:val="auto"/>
          <w:sz w:val="28"/>
          <w:szCs w:val="28"/>
          <w:highlight w:val="none"/>
          <w:shd w:val="clear" w:color="auto" w:fill="FFFFFF"/>
        </w:rPr>
        <w:t>指定</w:t>
      </w:r>
      <w:r>
        <w:rPr>
          <w:rFonts w:hint="eastAsia"/>
          <w:color w:val="auto"/>
          <w:sz w:val="28"/>
          <w:szCs w:val="28"/>
          <w:highlight w:val="none"/>
          <w:shd w:val="clear" w:color="auto" w:fill="FFFFFF"/>
          <w:lang w:val="en-US" w:eastAsia="zh-CN"/>
        </w:rPr>
        <w:t>的单位</w:t>
      </w:r>
      <w:r>
        <w:rPr>
          <w:rFonts w:hint="eastAsia"/>
          <w:color w:val="auto"/>
          <w:sz w:val="28"/>
          <w:szCs w:val="28"/>
          <w:highlight w:val="none"/>
          <w:shd w:val="clear" w:color="auto" w:fill="FFFFFF"/>
        </w:rPr>
        <w:t>支付注册资本金的10%作为特许经营权</w:t>
      </w:r>
      <w:r>
        <w:rPr>
          <w:rFonts w:hint="eastAsia"/>
          <w:color w:val="auto"/>
          <w:sz w:val="28"/>
          <w:szCs w:val="28"/>
          <w:highlight w:val="none"/>
          <w:shd w:val="clear" w:color="auto" w:fill="FFFFFF"/>
          <w:lang w:val="en-US" w:eastAsia="zh-CN"/>
        </w:rPr>
        <w:t>的</w:t>
      </w:r>
      <w:r>
        <w:rPr>
          <w:rFonts w:hint="eastAsia"/>
          <w:color w:val="auto"/>
          <w:sz w:val="28"/>
          <w:szCs w:val="28"/>
          <w:highlight w:val="none"/>
          <w:shd w:val="clear" w:color="auto" w:fill="FFFFFF"/>
        </w:rPr>
        <w:t>对价。</w:t>
      </w:r>
    </w:p>
    <w:p>
      <w:pPr>
        <w:spacing w:line="360" w:lineRule="auto"/>
        <w:ind w:firstLine="560"/>
        <w:rPr>
          <w:rFonts w:cs="Times New Roman"/>
          <w:color w:val="auto"/>
          <w:kern w:val="0"/>
          <w:sz w:val="28"/>
          <w:szCs w:val="28"/>
          <w:highlight w:val="none"/>
          <w:shd w:val="clear" w:color="auto" w:fill="FFFFFF"/>
        </w:rPr>
      </w:pPr>
      <w:r>
        <w:rPr>
          <w:rFonts w:hint="eastAsia"/>
          <w:color w:val="auto"/>
          <w:sz w:val="28"/>
          <w:szCs w:val="28"/>
          <w:highlight w:val="none"/>
          <w:shd w:val="clear" w:color="auto" w:fill="FFFFFF"/>
        </w:rPr>
        <w:t>项目公司成立后（指营业执照颁发之日起），特许经营</w:t>
      </w:r>
      <w:r>
        <w:rPr>
          <w:rFonts w:hint="eastAsia"/>
          <w:color w:val="auto"/>
          <w:sz w:val="28"/>
          <w:szCs w:val="28"/>
          <w:highlight w:val="none"/>
          <w:shd w:val="clear" w:color="auto" w:fill="FFFFFF"/>
          <w:lang w:val="en-US" w:eastAsia="zh-CN"/>
        </w:rPr>
        <w:t>者</w:t>
      </w:r>
      <w:r>
        <w:rPr>
          <w:rFonts w:hint="eastAsia"/>
          <w:color w:val="auto"/>
          <w:sz w:val="28"/>
          <w:szCs w:val="28"/>
          <w:highlight w:val="none"/>
          <w:shd w:val="clear" w:color="auto" w:fill="FFFFFF"/>
        </w:rPr>
        <w:t>在特许经营</w:t>
      </w:r>
      <w:r>
        <w:rPr>
          <w:rFonts w:hint="eastAsia"/>
          <w:color w:val="auto"/>
          <w:sz w:val="28"/>
          <w:szCs w:val="28"/>
          <w:highlight w:val="none"/>
          <w:shd w:val="clear" w:color="auto" w:fill="FFFFFF"/>
          <w:lang w:val="en-US" w:eastAsia="zh-CN"/>
        </w:rPr>
        <w:t>权</w:t>
      </w:r>
      <w:r>
        <w:rPr>
          <w:rFonts w:hint="eastAsia"/>
          <w:color w:val="auto"/>
          <w:sz w:val="28"/>
          <w:szCs w:val="28"/>
          <w:highlight w:val="none"/>
          <w:shd w:val="clear" w:color="auto" w:fill="FFFFFF"/>
        </w:rPr>
        <w:t>协议中</w:t>
      </w:r>
      <w:r>
        <w:rPr>
          <w:rFonts w:hint="eastAsia"/>
          <w:color w:val="auto"/>
          <w:sz w:val="28"/>
          <w:szCs w:val="28"/>
          <w:highlight w:val="none"/>
          <w:shd w:val="clear" w:color="auto" w:fill="FFFFFF"/>
          <w:lang w:val="en-US" w:eastAsia="zh-CN"/>
        </w:rPr>
        <w:t>享有或者承担</w:t>
      </w:r>
      <w:r>
        <w:rPr>
          <w:rFonts w:hint="eastAsia"/>
          <w:color w:val="auto"/>
          <w:sz w:val="28"/>
          <w:szCs w:val="28"/>
          <w:highlight w:val="none"/>
          <w:shd w:val="clear" w:color="auto" w:fill="FFFFFF"/>
        </w:rPr>
        <w:t>的所有权利与义务自动</w:t>
      </w:r>
      <w:r>
        <w:rPr>
          <w:rFonts w:hint="eastAsia"/>
          <w:color w:val="auto"/>
          <w:sz w:val="28"/>
          <w:szCs w:val="28"/>
          <w:highlight w:val="none"/>
          <w:shd w:val="clear" w:color="auto" w:fill="FFFFFF"/>
          <w:lang w:val="en-US" w:eastAsia="zh-CN"/>
        </w:rPr>
        <w:t>无偿移交给</w:t>
      </w:r>
      <w:r>
        <w:rPr>
          <w:rFonts w:hint="eastAsia"/>
          <w:color w:val="auto"/>
          <w:sz w:val="28"/>
          <w:szCs w:val="28"/>
          <w:highlight w:val="none"/>
          <w:shd w:val="clear" w:color="auto" w:fill="FFFFFF"/>
        </w:rPr>
        <w:t>项目公司承接</w:t>
      </w:r>
      <w:r>
        <w:rPr>
          <w:rFonts w:hint="eastAsia"/>
          <w:color w:val="auto"/>
          <w:sz w:val="28"/>
          <w:szCs w:val="28"/>
          <w:highlight w:val="none"/>
          <w:shd w:val="clear" w:color="auto" w:fill="FFFFFF"/>
          <w:lang w:eastAsia="zh-CN"/>
        </w:rPr>
        <w:t>，</w:t>
      </w:r>
      <w:r>
        <w:rPr>
          <w:rFonts w:hint="eastAsia"/>
          <w:color w:val="auto"/>
          <w:sz w:val="28"/>
          <w:szCs w:val="28"/>
          <w:highlight w:val="none"/>
          <w:shd w:val="clear" w:color="auto" w:fill="FFFFFF"/>
          <w:lang w:val="en-US" w:eastAsia="zh-CN"/>
        </w:rPr>
        <w:t>特许经营者不再享有或者承担特许经营协议中规定的权利和义务</w:t>
      </w:r>
      <w:r>
        <w:rPr>
          <w:rFonts w:hint="eastAsia"/>
          <w:color w:val="auto"/>
          <w:sz w:val="28"/>
          <w:szCs w:val="28"/>
          <w:highlight w:val="none"/>
          <w:shd w:val="clear" w:color="auto" w:fill="FFFFFF"/>
        </w:rPr>
        <w:t>。</w:t>
      </w:r>
    </w:p>
    <w:p>
      <w:pPr>
        <w:autoSpaceDE w:val="0"/>
        <w:autoSpaceDN w:val="0"/>
        <w:adjustRightInd w:val="0"/>
        <w:jc w:val="left"/>
        <w:rPr>
          <w:rFonts w:cs="Times New Roman"/>
          <w:color w:val="auto"/>
          <w:kern w:val="0"/>
          <w:sz w:val="28"/>
          <w:szCs w:val="28"/>
          <w:highlight w:val="none"/>
          <w:shd w:val="clear" w:color="auto" w:fill="FFFFFF"/>
        </w:rPr>
      </w:pPr>
    </w:p>
    <w:p>
      <w:pPr>
        <w:autoSpaceDE w:val="0"/>
        <w:autoSpaceDN w:val="0"/>
        <w:adjustRightInd w:val="0"/>
        <w:jc w:val="left"/>
        <w:rPr>
          <w:rFonts w:cs="Times New Roman"/>
          <w:color w:val="auto"/>
          <w:kern w:val="0"/>
          <w:sz w:val="28"/>
          <w:szCs w:val="28"/>
          <w:highlight w:val="none"/>
          <w:shd w:val="clear" w:color="auto" w:fill="FFFFFF"/>
        </w:rPr>
      </w:pPr>
    </w:p>
    <w:p>
      <w:pPr>
        <w:autoSpaceDE w:val="0"/>
        <w:autoSpaceDN w:val="0"/>
        <w:adjustRightInd w:val="0"/>
        <w:jc w:val="left"/>
        <w:rPr>
          <w:rFonts w:cs="Times New Roman"/>
          <w:color w:val="auto"/>
          <w:kern w:val="0"/>
          <w:sz w:val="28"/>
          <w:szCs w:val="28"/>
          <w:highlight w:val="none"/>
          <w:shd w:val="clear" w:color="auto" w:fill="FFFFFF"/>
        </w:rPr>
      </w:pPr>
    </w:p>
    <w:p>
      <w:pPr>
        <w:autoSpaceDE w:val="0"/>
        <w:autoSpaceDN w:val="0"/>
        <w:adjustRightInd w:val="0"/>
        <w:jc w:val="left"/>
        <w:rPr>
          <w:rFonts w:cs="Times New Roman"/>
          <w:color w:val="auto"/>
          <w:kern w:val="0"/>
          <w:sz w:val="28"/>
          <w:szCs w:val="28"/>
          <w:highlight w:val="none"/>
          <w:shd w:val="clear" w:color="auto" w:fill="FFFFFF"/>
        </w:rPr>
      </w:pPr>
    </w:p>
    <w:p>
      <w:pPr>
        <w:autoSpaceDE w:val="0"/>
        <w:autoSpaceDN w:val="0"/>
        <w:adjustRightInd w:val="0"/>
        <w:jc w:val="left"/>
        <w:rPr>
          <w:rFonts w:cs="Times New Roman"/>
          <w:color w:val="auto"/>
          <w:kern w:val="0"/>
          <w:sz w:val="28"/>
          <w:szCs w:val="28"/>
          <w:highlight w:val="none"/>
          <w:shd w:val="clear" w:color="auto" w:fill="FFFFFF"/>
        </w:rPr>
      </w:pPr>
    </w:p>
    <w:p>
      <w:pPr>
        <w:autoSpaceDE w:val="0"/>
        <w:autoSpaceDN w:val="0"/>
        <w:adjustRightInd w:val="0"/>
        <w:jc w:val="left"/>
        <w:rPr>
          <w:rFonts w:cs="Times New Roman"/>
          <w:color w:val="auto"/>
          <w:kern w:val="0"/>
          <w:sz w:val="28"/>
          <w:szCs w:val="28"/>
          <w:highlight w:val="none"/>
          <w:shd w:val="clear" w:color="auto" w:fill="FFFFFF"/>
        </w:rPr>
      </w:pPr>
    </w:p>
    <w:p>
      <w:pPr>
        <w:autoSpaceDE w:val="0"/>
        <w:autoSpaceDN w:val="0"/>
        <w:adjustRightInd w:val="0"/>
        <w:jc w:val="left"/>
        <w:rPr>
          <w:rFonts w:cs="Times New Roman"/>
          <w:color w:val="auto"/>
          <w:kern w:val="0"/>
          <w:sz w:val="28"/>
          <w:szCs w:val="28"/>
          <w:highlight w:val="none"/>
          <w:shd w:val="clear" w:color="auto" w:fill="FFFFFF"/>
        </w:rPr>
      </w:pPr>
    </w:p>
    <w:p>
      <w:pPr>
        <w:autoSpaceDE w:val="0"/>
        <w:autoSpaceDN w:val="0"/>
        <w:adjustRightInd w:val="0"/>
        <w:jc w:val="left"/>
        <w:rPr>
          <w:rFonts w:cs="Times New Roman"/>
          <w:color w:val="auto"/>
          <w:kern w:val="0"/>
          <w:sz w:val="28"/>
          <w:szCs w:val="28"/>
          <w:highlight w:val="none"/>
          <w:shd w:val="clear" w:color="auto" w:fill="FFFFFF"/>
        </w:rPr>
      </w:pPr>
    </w:p>
    <w:p>
      <w:pPr>
        <w:autoSpaceDE w:val="0"/>
        <w:autoSpaceDN w:val="0"/>
        <w:adjustRightInd w:val="0"/>
        <w:jc w:val="left"/>
        <w:rPr>
          <w:rFonts w:cs="Times New Roman"/>
          <w:color w:val="auto"/>
          <w:kern w:val="0"/>
          <w:sz w:val="28"/>
          <w:szCs w:val="28"/>
          <w:highlight w:val="none"/>
          <w:shd w:val="clear" w:color="auto" w:fill="FFFFFF"/>
        </w:rPr>
      </w:pPr>
    </w:p>
    <w:p>
      <w:pPr>
        <w:autoSpaceDE w:val="0"/>
        <w:autoSpaceDN w:val="0"/>
        <w:adjustRightInd w:val="0"/>
        <w:jc w:val="left"/>
        <w:rPr>
          <w:rFonts w:cs="Times New Roman"/>
          <w:color w:val="auto"/>
          <w:kern w:val="0"/>
          <w:sz w:val="28"/>
          <w:szCs w:val="28"/>
          <w:highlight w:val="none"/>
          <w:shd w:val="clear" w:color="auto" w:fill="FFFFFF"/>
        </w:rPr>
      </w:pPr>
    </w:p>
    <w:p>
      <w:pPr>
        <w:autoSpaceDE w:val="0"/>
        <w:autoSpaceDN w:val="0"/>
        <w:adjustRightInd w:val="0"/>
        <w:jc w:val="left"/>
        <w:rPr>
          <w:rFonts w:cs="Times New Roman"/>
          <w:color w:val="auto"/>
          <w:kern w:val="0"/>
          <w:sz w:val="28"/>
          <w:szCs w:val="28"/>
          <w:highlight w:val="none"/>
          <w:shd w:val="clear" w:color="auto" w:fill="FFFFFF"/>
        </w:rPr>
      </w:pPr>
    </w:p>
    <w:p>
      <w:pPr>
        <w:autoSpaceDE w:val="0"/>
        <w:autoSpaceDN w:val="0"/>
        <w:adjustRightInd w:val="0"/>
        <w:jc w:val="left"/>
        <w:rPr>
          <w:rFonts w:cs="Times New Roman"/>
          <w:color w:val="auto"/>
          <w:kern w:val="0"/>
          <w:sz w:val="28"/>
          <w:szCs w:val="28"/>
          <w:highlight w:val="none"/>
          <w:shd w:val="clear" w:color="auto" w:fill="FFFFFF"/>
        </w:rPr>
      </w:pPr>
    </w:p>
    <w:p>
      <w:pPr>
        <w:autoSpaceDE w:val="0"/>
        <w:autoSpaceDN w:val="0"/>
        <w:adjustRightInd w:val="0"/>
        <w:jc w:val="left"/>
        <w:rPr>
          <w:rFonts w:cs="Times New Roman"/>
          <w:color w:val="auto"/>
          <w:kern w:val="0"/>
          <w:sz w:val="28"/>
          <w:szCs w:val="28"/>
          <w:highlight w:val="none"/>
          <w:shd w:val="clear" w:color="auto" w:fill="FFFFFF"/>
        </w:rPr>
      </w:pPr>
    </w:p>
    <w:p>
      <w:pPr>
        <w:pStyle w:val="2"/>
        <w:numPr>
          <w:ilvl w:val="0"/>
          <w:numId w:val="2"/>
        </w:numPr>
        <w:rPr>
          <w:color w:val="auto"/>
          <w:highlight w:val="none"/>
        </w:rPr>
      </w:pPr>
      <w:bookmarkStart w:id="23" w:name="_Toc15189"/>
      <w:bookmarkStart w:id="24" w:name="_Toc14525"/>
      <w:bookmarkStart w:id="25" w:name="_Toc25805"/>
      <w:r>
        <w:rPr>
          <w:rFonts w:hint="eastAsia"/>
          <w:color w:val="auto"/>
          <w:highlight w:val="none"/>
        </w:rPr>
        <w:t>项目的实施机构</w:t>
      </w:r>
      <w:bookmarkEnd w:id="23"/>
      <w:bookmarkEnd w:id="24"/>
      <w:bookmarkEnd w:id="25"/>
    </w:p>
    <w:p>
      <w:pPr>
        <w:rPr>
          <w:color w:val="auto"/>
          <w:highlight w:val="none"/>
        </w:rPr>
      </w:pPr>
    </w:p>
    <w:p>
      <w:pPr>
        <w:pStyle w:val="3"/>
        <w:rPr>
          <w:color w:val="auto"/>
          <w:highlight w:val="none"/>
        </w:rPr>
      </w:pPr>
      <w:bookmarkStart w:id="26" w:name="_Toc10264"/>
      <w:bookmarkStart w:id="27" w:name="_Toc21220"/>
      <w:bookmarkStart w:id="28" w:name="_Toc29007"/>
      <w:r>
        <w:rPr>
          <w:rFonts w:hint="eastAsia"/>
          <w:color w:val="auto"/>
          <w:highlight w:val="none"/>
        </w:rPr>
        <w:t>一.项目实施的依据</w:t>
      </w:r>
      <w:bookmarkEnd w:id="26"/>
      <w:bookmarkEnd w:id="27"/>
      <w:bookmarkEnd w:id="28"/>
    </w:p>
    <w:p>
      <w:pPr>
        <w:pStyle w:val="22"/>
        <w:widowControl/>
        <w:shd w:val="clear" w:color="auto" w:fill="FFFFFF"/>
        <w:spacing w:beforeAutospacing="0" w:afterAutospacing="0" w:line="360" w:lineRule="atLeast"/>
        <w:ind w:left="795" w:hanging="375"/>
        <w:rPr>
          <w:color w:val="auto"/>
          <w:sz w:val="28"/>
          <w:szCs w:val="28"/>
          <w:highlight w:val="none"/>
          <w:shd w:val="clear" w:color="auto" w:fill="FFFFFF"/>
        </w:rPr>
      </w:pPr>
      <w:r>
        <w:rPr>
          <w:color w:val="auto"/>
          <w:sz w:val="28"/>
          <w:szCs w:val="28"/>
          <w:highlight w:val="none"/>
          <w:shd w:val="clear" w:color="auto" w:fill="FFFFFF"/>
        </w:rPr>
        <w:t>1</w:t>
      </w:r>
      <w:r>
        <w:rPr>
          <w:rFonts w:hint="eastAsia"/>
          <w:color w:val="auto"/>
          <w:sz w:val="28"/>
          <w:szCs w:val="28"/>
          <w:highlight w:val="none"/>
          <w:shd w:val="clear" w:color="auto" w:fill="FFFFFF"/>
        </w:rPr>
        <w:t>.《基础设施和公用事业特许经营管理办法》</w:t>
      </w:r>
      <w:r>
        <w:rPr>
          <w:color w:val="auto"/>
          <w:sz w:val="28"/>
          <w:szCs w:val="28"/>
          <w:highlight w:val="none"/>
          <w:shd w:val="clear" w:color="auto" w:fill="FFFFFF"/>
        </w:rPr>
        <w:t>国家发改委</w:t>
      </w:r>
      <w:r>
        <w:rPr>
          <w:rFonts w:hint="eastAsia"/>
          <w:color w:val="auto"/>
          <w:sz w:val="28"/>
          <w:szCs w:val="28"/>
          <w:highlight w:val="none"/>
          <w:shd w:val="clear" w:color="auto" w:fill="FFFFFF"/>
        </w:rPr>
        <w:t>等六部委2015年第25号令；</w:t>
      </w:r>
    </w:p>
    <w:p>
      <w:pPr>
        <w:pStyle w:val="22"/>
        <w:widowControl/>
        <w:shd w:val="clear" w:color="auto" w:fill="FFFFFF"/>
        <w:spacing w:beforeAutospacing="0" w:afterAutospacing="0" w:line="360" w:lineRule="atLeast"/>
        <w:ind w:firstLine="420"/>
        <w:rPr>
          <w:color w:val="auto"/>
          <w:sz w:val="28"/>
          <w:szCs w:val="28"/>
          <w:highlight w:val="none"/>
          <w:shd w:val="clear" w:color="auto" w:fill="FFFFFF"/>
        </w:rPr>
      </w:pPr>
      <w:r>
        <w:rPr>
          <w:color w:val="auto"/>
          <w:sz w:val="28"/>
          <w:szCs w:val="28"/>
          <w:highlight w:val="none"/>
          <w:shd w:val="clear" w:color="auto" w:fill="FFFFFF"/>
        </w:rPr>
        <w:t>2</w:t>
      </w:r>
      <w:r>
        <w:rPr>
          <w:rFonts w:hint="eastAsia"/>
          <w:color w:val="auto"/>
          <w:sz w:val="28"/>
          <w:szCs w:val="28"/>
          <w:highlight w:val="none"/>
          <w:shd w:val="clear" w:color="auto" w:fill="FFFFFF"/>
        </w:rPr>
        <w:t>.</w:t>
      </w:r>
      <w:r>
        <w:rPr>
          <w:color w:val="auto"/>
          <w:sz w:val="28"/>
          <w:szCs w:val="28"/>
          <w:highlight w:val="none"/>
          <w:shd w:val="clear" w:color="auto" w:fill="FFFFFF"/>
        </w:rPr>
        <w:t>《城镇燃气管理条例》第十四条中华人民共和国国务院令第583号</w:t>
      </w:r>
      <w:r>
        <w:rPr>
          <w:rFonts w:hint="eastAsia"/>
          <w:color w:val="auto"/>
          <w:sz w:val="28"/>
          <w:szCs w:val="28"/>
          <w:highlight w:val="none"/>
          <w:shd w:val="clear" w:color="auto" w:fill="FFFFFF"/>
        </w:rPr>
        <w:t>；</w:t>
      </w:r>
    </w:p>
    <w:p>
      <w:pPr>
        <w:pStyle w:val="22"/>
        <w:widowControl/>
        <w:shd w:val="clear" w:color="auto" w:fill="FFFFFF"/>
        <w:spacing w:beforeAutospacing="0" w:afterAutospacing="0" w:line="360" w:lineRule="atLeast"/>
        <w:ind w:left="750" w:hanging="330"/>
        <w:rPr>
          <w:color w:val="auto"/>
          <w:sz w:val="28"/>
          <w:szCs w:val="28"/>
          <w:highlight w:val="none"/>
          <w:shd w:val="clear" w:color="auto" w:fill="FFFFFF"/>
        </w:rPr>
      </w:pPr>
      <w:r>
        <w:rPr>
          <w:rFonts w:hint="eastAsia"/>
          <w:color w:val="auto"/>
          <w:sz w:val="28"/>
          <w:szCs w:val="28"/>
          <w:highlight w:val="none"/>
          <w:shd w:val="clear" w:color="auto" w:fill="FFFFFF"/>
        </w:rPr>
        <w:t>3.</w:t>
      </w:r>
      <w:r>
        <w:rPr>
          <w:color w:val="auto"/>
          <w:sz w:val="28"/>
          <w:szCs w:val="28"/>
          <w:highlight w:val="none"/>
          <w:shd w:val="clear" w:color="auto" w:fill="FFFFFF"/>
        </w:rPr>
        <w:t>《</w:t>
      </w:r>
      <w:r>
        <w:rPr>
          <w:rFonts w:hint="eastAsia"/>
          <w:color w:val="auto"/>
          <w:sz w:val="28"/>
          <w:szCs w:val="28"/>
          <w:highlight w:val="none"/>
          <w:shd w:val="clear" w:color="auto" w:fill="FFFFFF"/>
        </w:rPr>
        <w:t>广东省燃气管理条例</w:t>
      </w:r>
      <w:r>
        <w:rPr>
          <w:color w:val="auto"/>
          <w:sz w:val="28"/>
          <w:szCs w:val="28"/>
          <w:highlight w:val="none"/>
          <w:shd w:val="clear" w:color="auto" w:fill="FFFFFF"/>
        </w:rPr>
        <w:t>(2010</w:t>
      </w:r>
      <w:r>
        <w:rPr>
          <w:rFonts w:hint="eastAsia"/>
          <w:color w:val="auto"/>
          <w:sz w:val="28"/>
          <w:szCs w:val="28"/>
          <w:highlight w:val="none"/>
          <w:shd w:val="clear" w:color="auto" w:fill="FFFFFF"/>
        </w:rPr>
        <w:t>年修订</w:t>
      </w:r>
      <w:r>
        <w:rPr>
          <w:color w:val="auto"/>
          <w:sz w:val="28"/>
          <w:szCs w:val="28"/>
          <w:highlight w:val="none"/>
          <w:shd w:val="clear" w:color="auto" w:fill="FFFFFF"/>
        </w:rPr>
        <w:t>) 广东省第十一届人民代表大会常务委员会公告第42号公布</w:t>
      </w:r>
    </w:p>
    <w:p>
      <w:pPr>
        <w:rPr>
          <w:color w:val="auto"/>
          <w:highlight w:val="none"/>
        </w:rPr>
      </w:pPr>
      <w:r>
        <w:rPr>
          <w:rFonts w:hint="eastAsia"/>
          <w:color w:val="auto"/>
          <w:sz w:val="28"/>
          <w:szCs w:val="28"/>
          <w:highlight w:val="none"/>
          <w:shd w:val="clear" w:color="auto" w:fill="FFFFFF"/>
        </w:rPr>
        <w:t xml:space="preserve">   4.其它法律法规。</w:t>
      </w:r>
    </w:p>
    <w:p>
      <w:pPr>
        <w:pStyle w:val="3"/>
        <w:rPr>
          <w:color w:val="auto"/>
          <w:highlight w:val="none"/>
        </w:rPr>
      </w:pPr>
      <w:bookmarkStart w:id="29" w:name="_Toc1900"/>
      <w:bookmarkStart w:id="30" w:name="_Toc17927"/>
      <w:bookmarkStart w:id="31" w:name="_Toc15380"/>
      <w:r>
        <w:rPr>
          <w:rFonts w:hint="eastAsia"/>
          <w:color w:val="auto"/>
          <w:highlight w:val="none"/>
        </w:rPr>
        <w:t>二.项目实施的组织机构</w:t>
      </w:r>
      <w:bookmarkEnd w:id="29"/>
      <w:bookmarkEnd w:id="30"/>
      <w:bookmarkEnd w:id="31"/>
    </w:p>
    <w:p>
      <w:pPr>
        <w:spacing w:line="240" w:lineRule="auto"/>
        <w:outlineLvl w:val="9"/>
        <w:rPr>
          <w:rFonts w:hint="eastAsia" w:cs="Times New Roman" w:asciiTheme="minorHAnsi" w:hAnsiTheme="minorHAnsi" w:eastAsiaTheme="minorEastAsia"/>
          <w:b w:val="0"/>
          <w:color w:val="auto"/>
          <w:kern w:val="0"/>
          <w:sz w:val="28"/>
          <w:szCs w:val="28"/>
          <w:highlight w:val="none"/>
          <w:shd w:val="clear" w:color="auto" w:fill="FFFFFF"/>
          <w:lang w:val="en-US" w:eastAsia="zh-CN" w:bidi="ar-SA"/>
        </w:rPr>
      </w:pPr>
      <w:bookmarkStart w:id="32" w:name="_Toc20120"/>
      <w:bookmarkStart w:id="33" w:name="_Toc32163"/>
      <w:r>
        <w:rPr>
          <w:rFonts w:hint="eastAsia" w:cs="Times New Roman" w:asciiTheme="minorHAnsi" w:hAnsiTheme="minorHAnsi" w:eastAsiaTheme="minorEastAsia"/>
          <w:b w:val="0"/>
          <w:color w:val="auto"/>
          <w:kern w:val="0"/>
          <w:sz w:val="28"/>
          <w:szCs w:val="28"/>
          <w:highlight w:val="none"/>
          <w:shd w:val="clear" w:color="auto" w:fill="FFFFFF"/>
          <w:lang w:val="en-US" w:eastAsia="zh-CN" w:bidi="ar-SA"/>
        </w:rPr>
        <w:t xml:space="preserve">    </w:t>
      </w:r>
      <w:r>
        <w:rPr>
          <w:rFonts w:hint="eastAsia" w:ascii="宋体" w:hAnsi="宋体" w:eastAsia="宋体" w:cs="宋体"/>
          <w:b w:val="0"/>
          <w:bCs/>
          <w:color w:val="auto"/>
          <w:sz w:val="28"/>
          <w:szCs w:val="28"/>
          <w:highlight w:val="none"/>
          <w:lang w:val="en-US" w:eastAsia="zh-CN"/>
        </w:rPr>
        <w:t>阳山县人民政府授权阳山县住房与城乡建设局开展阳山县管道燃气特许经营权的授予工作。</w:t>
      </w:r>
    </w:p>
    <w:p>
      <w:pPr>
        <w:pStyle w:val="3"/>
        <w:rPr>
          <w:color w:val="auto"/>
          <w:highlight w:val="none"/>
        </w:rPr>
      </w:pPr>
      <w:bookmarkStart w:id="34" w:name="_Toc18842"/>
      <w:r>
        <w:rPr>
          <w:rFonts w:hint="eastAsia"/>
          <w:color w:val="auto"/>
          <w:highlight w:val="none"/>
        </w:rPr>
        <w:t>三.项目实施的原则</w:t>
      </w:r>
      <w:bookmarkEnd w:id="32"/>
      <w:bookmarkEnd w:id="33"/>
      <w:bookmarkEnd w:id="34"/>
    </w:p>
    <w:p>
      <w:pPr>
        <w:autoSpaceDE w:val="0"/>
        <w:autoSpaceDN w:val="0"/>
        <w:adjustRightInd w:val="0"/>
        <w:ind w:left="360" w:hanging="150"/>
        <w:jc w:val="left"/>
        <w:rPr>
          <w:color w:val="auto"/>
          <w:sz w:val="28"/>
          <w:szCs w:val="28"/>
          <w:highlight w:val="none"/>
          <w:shd w:val="clear" w:color="auto" w:fill="FFFFFF"/>
        </w:rPr>
      </w:pPr>
      <w:bookmarkStart w:id="35" w:name="_Toc25699"/>
      <w:r>
        <w:rPr>
          <w:rFonts w:hint="eastAsia" w:ascii="仿宋_GB2312" w:eastAsia="仿宋_GB2312" w:cs="仿宋_GB2312"/>
          <w:color w:val="auto"/>
          <w:kern w:val="0"/>
          <w:sz w:val="30"/>
          <w:szCs w:val="30"/>
          <w:highlight w:val="none"/>
        </w:rPr>
        <w:t xml:space="preserve"> 1.</w:t>
      </w:r>
      <w:r>
        <w:rPr>
          <w:rFonts w:hint="eastAsia"/>
          <w:color w:val="auto"/>
          <w:sz w:val="28"/>
          <w:szCs w:val="28"/>
          <w:highlight w:val="none"/>
          <w:shd w:val="clear" w:color="auto" w:fill="FFFFFF"/>
        </w:rPr>
        <w:t>发挥社会资本融资、专业、技术和管理优势，提高公共服务质量效率；2.转变政府职能，强化政府与社会资本协商合作；</w:t>
      </w:r>
    </w:p>
    <w:p>
      <w:pPr>
        <w:autoSpaceDE w:val="0"/>
        <w:autoSpaceDN w:val="0"/>
        <w:adjustRightInd w:val="0"/>
        <w:ind w:left="359" w:leftChars="171"/>
        <w:jc w:val="left"/>
        <w:rPr>
          <w:color w:val="auto"/>
          <w:sz w:val="28"/>
          <w:szCs w:val="28"/>
          <w:highlight w:val="none"/>
          <w:shd w:val="clear" w:color="auto" w:fill="FFFFFF"/>
        </w:rPr>
      </w:pPr>
      <w:r>
        <w:rPr>
          <w:rFonts w:hint="eastAsia"/>
          <w:color w:val="auto"/>
          <w:sz w:val="28"/>
          <w:szCs w:val="28"/>
          <w:highlight w:val="none"/>
          <w:shd w:val="clear" w:color="auto" w:fill="FFFFFF"/>
        </w:rPr>
        <w:t>3.保护社会资本合法权益，保证特许经营持续性和稳定性；</w:t>
      </w:r>
    </w:p>
    <w:p>
      <w:pPr>
        <w:jc w:val="left"/>
        <w:rPr>
          <w:rFonts w:cs="Times New Roman"/>
          <w:color w:val="auto"/>
          <w:sz w:val="28"/>
          <w:szCs w:val="28"/>
          <w:highlight w:val="none"/>
          <w:shd w:val="clear" w:color="auto" w:fill="FFFFFF"/>
        </w:rPr>
      </w:pPr>
      <w:r>
        <w:rPr>
          <w:rFonts w:hint="eastAsia"/>
          <w:color w:val="auto"/>
          <w:sz w:val="28"/>
          <w:szCs w:val="28"/>
          <w:highlight w:val="none"/>
          <w:shd w:val="clear" w:color="auto" w:fill="FFFFFF"/>
        </w:rPr>
        <w:t xml:space="preserve">   4.兼顾经营性和公益性平衡，维护公共利益。</w:t>
      </w:r>
    </w:p>
    <w:p>
      <w:pPr>
        <w:pStyle w:val="3"/>
        <w:rPr>
          <w:color w:val="auto"/>
          <w:highlight w:val="none"/>
        </w:rPr>
      </w:pPr>
      <w:bookmarkStart w:id="36" w:name="_Toc26426"/>
      <w:bookmarkStart w:id="37" w:name="_Toc31672"/>
      <w:r>
        <w:rPr>
          <w:rFonts w:hint="eastAsia"/>
          <w:color w:val="auto"/>
          <w:highlight w:val="none"/>
        </w:rPr>
        <w:t>四.项目实施的</w:t>
      </w:r>
      <w:bookmarkEnd w:id="35"/>
      <w:r>
        <w:rPr>
          <w:rFonts w:hint="eastAsia"/>
          <w:color w:val="auto"/>
          <w:highlight w:val="none"/>
        </w:rPr>
        <w:t>步骤</w:t>
      </w:r>
      <w:bookmarkEnd w:id="36"/>
      <w:bookmarkEnd w:id="37"/>
    </w:p>
    <w:p>
      <w:pPr>
        <w:autoSpaceDE w:val="0"/>
        <w:autoSpaceDN w:val="0"/>
        <w:adjustRightInd w:val="0"/>
        <w:spacing w:beforeLines="0" w:afterLines="0"/>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1.阳山县住</w:t>
      </w:r>
      <w:r>
        <w:rPr>
          <w:rFonts w:hint="eastAsia" w:cs="Times New Roman"/>
          <w:color w:val="auto"/>
          <w:kern w:val="0"/>
          <w:sz w:val="28"/>
          <w:szCs w:val="28"/>
          <w:highlight w:val="none"/>
          <w:shd w:val="clear" w:color="auto" w:fill="FFFFFF"/>
          <w:lang w:val="en-US" w:eastAsia="zh-CN"/>
        </w:rPr>
        <w:t>房和城乡</w:t>
      </w:r>
      <w:r>
        <w:rPr>
          <w:rFonts w:hint="eastAsia" w:cs="Times New Roman"/>
          <w:color w:val="auto"/>
          <w:kern w:val="0"/>
          <w:sz w:val="28"/>
          <w:szCs w:val="28"/>
          <w:highlight w:val="none"/>
          <w:shd w:val="clear" w:color="auto" w:fill="FFFFFF"/>
        </w:rPr>
        <w:t>建</w:t>
      </w:r>
      <w:r>
        <w:rPr>
          <w:rFonts w:hint="eastAsia" w:cs="Times New Roman"/>
          <w:color w:val="auto"/>
          <w:kern w:val="0"/>
          <w:sz w:val="28"/>
          <w:szCs w:val="28"/>
          <w:highlight w:val="none"/>
          <w:shd w:val="clear" w:color="auto" w:fill="FFFFFF"/>
          <w:lang w:val="en-US" w:eastAsia="zh-CN"/>
        </w:rPr>
        <w:t>设</w:t>
      </w:r>
      <w:r>
        <w:rPr>
          <w:rFonts w:hint="eastAsia" w:cs="Times New Roman"/>
          <w:color w:val="auto"/>
          <w:kern w:val="0"/>
          <w:sz w:val="28"/>
          <w:szCs w:val="28"/>
          <w:highlight w:val="none"/>
          <w:shd w:val="clear" w:color="auto" w:fill="FFFFFF"/>
        </w:rPr>
        <w:t>局根据阳山县人民政府的授权，编制阳山县管道燃气特许经营权实施方案。</w:t>
      </w:r>
    </w:p>
    <w:p>
      <w:pPr>
        <w:numPr>
          <w:ilvl w:val="0"/>
          <w:numId w:val="0"/>
        </w:numPr>
        <w:spacing w:line="360" w:lineRule="auto"/>
        <w:rPr>
          <w:rFonts w:hint="eastAsia"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lang w:val="en-US" w:eastAsia="zh-CN"/>
        </w:rPr>
        <w:t xml:space="preserve">    </w:t>
      </w:r>
      <w:r>
        <w:rPr>
          <w:rFonts w:hint="eastAsia" w:cs="Times New Roman"/>
          <w:color w:val="auto"/>
          <w:kern w:val="0"/>
          <w:sz w:val="28"/>
          <w:szCs w:val="28"/>
          <w:highlight w:val="none"/>
          <w:shd w:val="clear" w:color="auto" w:fill="FFFFFF"/>
        </w:rPr>
        <w:t>2. 阳山县住</w:t>
      </w:r>
      <w:r>
        <w:rPr>
          <w:rFonts w:hint="eastAsia" w:cs="Times New Roman"/>
          <w:color w:val="auto"/>
          <w:kern w:val="0"/>
          <w:sz w:val="28"/>
          <w:szCs w:val="28"/>
          <w:highlight w:val="none"/>
          <w:shd w:val="clear" w:color="auto" w:fill="FFFFFF"/>
          <w:lang w:val="en-US" w:eastAsia="zh-CN"/>
        </w:rPr>
        <w:t>房和城乡</w:t>
      </w:r>
      <w:r>
        <w:rPr>
          <w:rFonts w:hint="eastAsia" w:cs="Times New Roman"/>
          <w:color w:val="auto"/>
          <w:kern w:val="0"/>
          <w:sz w:val="28"/>
          <w:szCs w:val="28"/>
          <w:highlight w:val="none"/>
          <w:shd w:val="clear" w:color="auto" w:fill="FFFFFF"/>
        </w:rPr>
        <w:t>建</w:t>
      </w:r>
      <w:r>
        <w:rPr>
          <w:rFonts w:hint="eastAsia" w:cs="Times New Roman"/>
          <w:color w:val="auto"/>
          <w:kern w:val="0"/>
          <w:sz w:val="28"/>
          <w:szCs w:val="28"/>
          <w:highlight w:val="none"/>
          <w:shd w:val="clear" w:color="auto" w:fill="FFFFFF"/>
          <w:lang w:val="en-US" w:eastAsia="zh-CN"/>
        </w:rPr>
        <w:t>设</w:t>
      </w:r>
      <w:r>
        <w:rPr>
          <w:rFonts w:hint="eastAsia" w:cs="Times New Roman"/>
          <w:color w:val="auto"/>
          <w:kern w:val="0"/>
          <w:sz w:val="28"/>
          <w:szCs w:val="28"/>
          <w:highlight w:val="none"/>
          <w:shd w:val="clear" w:color="auto" w:fill="FFFFFF"/>
        </w:rPr>
        <w:t>局委托具有相应能力</w:t>
      </w:r>
      <w:r>
        <w:rPr>
          <w:rFonts w:hint="eastAsia" w:cs="Times New Roman"/>
          <w:color w:val="auto"/>
          <w:kern w:val="0"/>
          <w:sz w:val="28"/>
          <w:szCs w:val="28"/>
          <w:highlight w:val="none"/>
          <w:shd w:val="clear" w:color="auto" w:fill="FFFFFF"/>
          <w:lang w:val="en-US" w:eastAsia="zh-CN"/>
        </w:rPr>
        <w:t>和经验</w:t>
      </w:r>
      <w:r>
        <w:rPr>
          <w:rFonts w:hint="eastAsia" w:cs="Times New Roman"/>
          <w:color w:val="auto"/>
          <w:kern w:val="0"/>
          <w:sz w:val="28"/>
          <w:szCs w:val="28"/>
          <w:highlight w:val="none"/>
          <w:shd w:val="clear" w:color="auto" w:fill="FFFFFF"/>
        </w:rPr>
        <w:t>的第三方机构，开展特许经营</w:t>
      </w:r>
      <w:r>
        <w:rPr>
          <w:rFonts w:hint="eastAsia" w:cs="Times New Roman"/>
          <w:color w:val="auto"/>
          <w:kern w:val="0"/>
          <w:sz w:val="28"/>
          <w:szCs w:val="28"/>
          <w:highlight w:val="none"/>
          <w:shd w:val="clear" w:color="auto" w:fill="FFFFFF"/>
          <w:lang w:val="en-US" w:eastAsia="zh-CN"/>
        </w:rPr>
        <w:t>可行性</w:t>
      </w:r>
      <w:r>
        <w:rPr>
          <w:rFonts w:hint="eastAsia" w:cs="Times New Roman"/>
          <w:color w:val="auto"/>
          <w:kern w:val="0"/>
          <w:sz w:val="28"/>
          <w:szCs w:val="28"/>
          <w:highlight w:val="none"/>
          <w:shd w:val="clear" w:color="auto" w:fill="FFFFFF"/>
        </w:rPr>
        <w:t>评估，完善阳山县管道燃气特许经营权实施方案。</w:t>
      </w:r>
      <w:r>
        <w:rPr>
          <w:rFonts w:hint="eastAsia" w:asciiTheme="minorEastAsia" w:hAnsiTheme="minorEastAsia"/>
          <w:color w:val="auto"/>
          <w:sz w:val="28"/>
          <w:szCs w:val="28"/>
          <w:highlight w:val="none"/>
        </w:rPr>
        <w:t>方案及评估报告编审费用由</w:t>
      </w:r>
      <w:r>
        <w:rPr>
          <w:rFonts w:hint="eastAsia" w:cs="Times New Roman"/>
          <w:color w:val="auto"/>
          <w:kern w:val="0"/>
          <w:sz w:val="28"/>
          <w:szCs w:val="28"/>
          <w:highlight w:val="none"/>
          <w:shd w:val="clear" w:color="auto" w:fill="FFFFFF"/>
        </w:rPr>
        <w:t>阳山县住</w:t>
      </w:r>
      <w:r>
        <w:rPr>
          <w:rFonts w:hint="eastAsia" w:cs="Times New Roman"/>
          <w:color w:val="auto"/>
          <w:kern w:val="0"/>
          <w:sz w:val="28"/>
          <w:szCs w:val="28"/>
          <w:highlight w:val="none"/>
          <w:shd w:val="clear" w:color="auto" w:fill="FFFFFF"/>
          <w:lang w:val="en-US" w:eastAsia="zh-CN"/>
        </w:rPr>
        <w:t>房和城乡</w:t>
      </w:r>
      <w:r>
        <w:rPr>
          <w:rFonts w:hint="eastAsia" w:cs="Times New Roman"/>
          <w:color w:val="auto"/>
          <w:kern w:val="0"/>
          <w:sz w:val="28"/>
          <w:szCs w:val="28"/>
          <w:highlight w:val="none"/>
          <w:shd w:val="clear" w:color="auto" w:fill="FFFFFF"/>
        </w:rPr>
        <w:t>建</w:t>
      </w:r>
      <w:r>
        <w:rPr>
          <w:rFonts w:hint="eastAsia" w:cs="Times New Roman"/>
          <w:color w:val="auto"/>
          <w:kern w:val="0"/>
          <w:sz w:val="28"/>
          <w:szCs w:val="28"/>
          <w:highlight w:val="none"/>
          <w:shd w:val="clear" w:color="auto" w:fill="FFFFFF"/>
          <w:lang w:val="en-US" w:eastAsia="zh-CN"/>
        </w:rPr>
        <w:t>设</w:t>
      </w:r>
      <w:r>
        <w:rPr>
          <w:rFonts w:hint="eastAsia" w:cs="Times New Roman"/>
          <w:color w:val="auto"/>
          <w:kern w:val="0"/>
          <w:sz w:val="28"/>
          <w:szCs w:val="28"/>
          <w:highlight w:val="none"/>
          <w:shd w:val="clear" w:color="auto" w:fill="FFFFFF"/>
        </w:rPr>
        <w:t>局</w:t>
      </w:r>
      <w:r>
        <w:rPr>
          <w:rFonts w:hint="eastAsia" w:cs="Times New Roman"/>
          <w:color w:val="auto"/>
          <w:kern w:val="0"/>
          <w:sz w:val="28"/>
          <w:szCs w:val="28"/>
          <w:highlight w:val="none"/>
          <w:shd w:val="clear" w:color="auto" w:fill="FFFFFF"/>
          <w:lang w:eastAsia="zh-CN"/>
        </w:rPr>
        <w:t>先行支付，最终由</w:t>
      </w:r>
      <w:r>
        <w:rPr>
          <w:rFonts w:hint="eastAsia" w:asciiTheme="minorEastAsia" w:hAnsiTheme="minorEastAsia"/>
          <w:color w:val="auto"/>
          <w:sz w:val="28"/>
          <w:szCs w:val="28"/>
          <w:highlight w:val="none"/>
        </w:rPr>
        <w:t>特许经营者成立的项目公司承担。</w:t>
      </w:r>
    </w:p>
    <w:p>
      <w:pPr>
        <w:autoSpaceDE w:val="0"/>
        <w:autoSpaceDN w:val="0"/>
        <w:adjustRightInd w:val="0"/>
        <w:spacing w:beforeLines="0" w:afterLines="0"/>
        <w:ind w:firstLine="560" w:firstLineChars="200"/>
        <w:jc w:val="left"/>
        <w:rPr>
          <w:color w:val="auto"/>
          <w:sz w:val="28"/>
          <w:szCs w:val="28"/>
          <w:highlight w:val="none"/>
          <w:shd w:val="clear" w:color="auto" w:fill="FFFFFF"/>
        </w:rPr>
      </w:pPr>
      <w:r>
        <w:rPr>
          <w:rFonts w:hint="eastAsia" w:cs="Times New Roman"/>
          <w:color w:val="auto"/>
          <w:kern w:val="0"/>
          <w:sz w:val="28"/>
          <w:szCs w:val="28"/>
          <w:highlight w:val="none"/>
          <w:shd w:val="clear" w:color="auto" w:fill="FFFFFF"/>
        </w:rPr>
        <w:t>3.阳山县住</w:t>
      </w:r>
      <w:r>
        <w:rPr>
          <w:rFonts w:hint="eastAsia" w:cs="Times New Roman"/>
          <w:color w:val="auto"/>
          <w:kern w:val="0"/>
          <w:sz w:val="28"/>
          <w:szCs w:val="28"/>
          <w:highlight w:val="none"/>
          <w:shd w:val="clear" w:color="auto" w:fill="FFFFFF"/>
          <w:lang w:val="en-US" w:eastAsia="zh-CN"/>
        </w:rPr>
        <w:t>房和城乡</w:t>
      </w:r>
      <w:r>
        <w:rPr>
          <w:rFonts w:hint="eastAsia" w:cs="Times New Roman"/>
          <w:color w:val="auto"/>
          <w:kern w:val="0"/>
          <w:sz w:val="28"/>
          <w:szCs w:val="28"/>
          <w:highlight w:val="none"/>
          <w:shd w:val="clear" w:color="auto" w:fill="FFFFFF"/>
        </w:rPr>
        <w:t>建</w:t>
      </w:r>
      <w:r>
        <w:rPr>
          <w:rFonts w:hint="eastAsia" w:cs="Times New Roman"/>
          <w:color w:val="auto"/>
          <w:kern w:val="0"/>
          <w:sz w:val="28"/>
          <w:szCs w:val="28"/>
          <w:highlight w:val="none"/>
          <w:shd w:val="clear" w:color="auto" w:fill="FFFFFF"/>
          <w:lang w:val="en-US" w:eastAsia="zh-CN"/>
        </w:rPr>
        <w:t>设</w:t>
      </w:r>
      <w:r>
        <w:rPr>
          <w:rFonts w:hint="eastAsia" w:cs="Times New Roman"/>
          <w:color w:val="auto"/>
          <w:kern w:val="0"/>
          <w:sz w:val="28"/>
          <w:szCs w:val="28"/>
          <w:highlight w:val="none"/>
          <w:shd w:val="clear" w:color="auto" w:fill="FFFFFF"/>
        </w:rPr>
        <w:t>局根据《基础设施和公用事业特许经营管理办法》会同</w:t>
      </w:r>
      <w:r>
        <w:rPr>
          <w:rFonts w:hint="eastAsia" w:cs="Times New Roman"/>
          <w:color w:val="auto"/>
          <w:kern w:val="0"/>
          <w:sz w:val="28"/>
          <w:szCs w:val="28"/>
          <w:highlight w:val="none"/>
          <w:shd w:val="clear" w:color="auto" w:fill="FFFFFF"/>
          <w:lang w:val="en-US" w:eastAsia="zh-CN"/>
        </w:rPr>
        <w:t>发展改革、财政、城乡规划、国土等</w:t>
      </w:r>
      <w:r>
        <w:rPr>
          <w:rFonts w:hint="eastAsia" w:cs="Times New Roman"/>
          <w:color w:val="auto"/>
          <w:kern w:val="0"/>
          <w:sz w:val="28"/>
          <w:szCs w:val="28"/>
          <w:highlight w:val="none"/>
          <w:shd w:val="clear" w:color="auto" w:fill="FFFFFF"/>
        </w:rPr>
        <w:t>有关部门</w:t>
      </w:r>
      <w:r>
        <w:rPr>
          <w:rFonts w:hint="eastAsia" w:cs="Times New Roman"/>
          <w:color w:val="auto"/>
          <w:kern w:val="0"/>
          <w:sz w:val="28"/>
          <w:szCs w:val="28"/>
          <w:highlight w:val="none"/>
          <w:shd w:val="clear" w:color="auto" w:fill="FFFFFF"/>
          <w:lang w:val="en-US" w:eastAsia="zh-CN"/>
        </w:rPr>
        <w:t>对</w:t>
      </w:r>
      <w:r>
        <w:rPr>
          <w:rFonts w:hint="eastAsia" w:cs="Times New Roman"/>
          <w:color w:val="auto"/>
          <w:kern w:val="0"/>
          <w:sz w:val="28"/>
          <w:szCs w:val="28"/>
          <w:highlight w:val="none"/>
          <w:shd w:val="clear" w:color="auto" w:fill="FFFFFF"/>
        </w:rPr>
        <w:t>阳山县管道燃气特许经营权实施方案</w:t>
      </w:r>
      <w:r>
        <w:rPr>
          <w:rFonts w:hint="eastAsia" w:cs="Times New Roman"/>
          <w:color w:val="auto"/>
          <w:kern w:val="0"/>
          <w:sz w:val="28"/>
          <w:szCs w:val="28"/>
          <w:highlight w:val="none"/>
          <w:shd w:val="clear" w:color="auto" w:fill="FFFFFF"/>
          <w:lang w:val="en-US" w:eastAsia="zh-CN"/>
        </w:rPr>
        <w:t>进行审查，经审查认为实施方案可行的，各部门应当根据职责分别出具书面审查意见</w:t>
      </w:r>
      <w:r>
        <w:rPr>
          <w:rFonts w:hint="eastAsia" w:cs="Times New Roman"/>
          <w:color w:val="auto"/>
          <w:kern w:val="0"/>
          <w:sz w:val="28"/>
          <w:szCs w:val="28"/>
          <w:highlight w:val="none"/>
          <w:shd w:val="clear" w:color="auto" w:fill="FFFFFF"/>
        </w:rPr>
        <w:t>。</w:t>
      </w:r>
    </w:p>
    <w:p>
      <w:pPr>
        <w:autoSpaceDE w:val="0"/>
        <w:autoSpaceDN w:val="0"/>
        <w:adjustRightInd w:val="0"/>
        <w:ind w:firstLine="560"/>
        <w:jc w:val="left"/>
        <w:rPr>
          <w:rFonts w:cs="Times New Roman"/>
          <w:color w:val="auto"/>
          <w:kern w:val="0"/>
          <w:sz w:val="28"/>
          <w:szCs w:val="28"/>
          <w:highlight w:val="none"/>
          <w:shd w:val="clear" w:color="auto" w:fill="FFFFFF"/>
        </w:rPr>
      </w:pPr>
      <w:r>
        <w:rPr>
          <w:rFonts w:hint="eastAsia"/>
          <w:color w:val="auto"/>
          <w:sz w:val="28"/>
          <w:szCs w:val="28"/>
          <w:highlight w:val="none"/>
          <w:shd w:val="clear" w:color="auto" w:fill="FFFFFF"/>
        </w:rPr>
        <w:t>4.</w:t>
      </w:r>
      <w:r>
        <w:rPr>
          <w:rFonts w:hint="eastAsia" w:cs="Times New Roman"/>
          <w:color w:val="auto"/>
          <w:kern w:val="0"/>
          <w:sz w:val="28"/>
          <w:szCs w:val="28"/>
          <w:highlight w:val="none"/>
          <w:shd w:val="clear" w:color="auto" w:fill="FFFFFF"/>
        </w:rPr>
        <w:t>阳山县住</w:t>
      </w:r>
      <w:r>
        <w:rPr>
          <w:rFonts w:hint="eastAsia" w:cs="Times New Roman"/>
          <w:color w:val="auto"/>
          <w:kern w:val="0"/>
          <w:sz w:val="28"/>
          <w:szCs w:val="28"/>
          <w:highlight w:val="none"/>
          <w:shd w:val="clear" w:color="auto" w:fill="FFFFFF"/>
          <w:lang w:val="en-US" w:eastAsia="zh-CN"/>
        </w:rPr>
        <w:t>房和城乡</w:t>
      </w:r>
      <w:r>
        <w:rPr>
          <w:rFonts w:hint="eastAsia" w:cs="Times New Roman"/>
          <w:color w:val="auto"/>
          <w:kern w:val="0"/>
          <w:sz w:val="28"/>
          <w:szCs w:val="28"/>
          <w:highlight w:val="none"/>
          <w:shd w:val="clear" w:color="auto" w:fill="FFFFFF"/>
        </w:rPr>
        <w:t>建</w:t>
      </w:r>
      <w:r>
        <w:rPr>
          <w:rFonts w:hint="eastAsia" w:cs="Times New Roman"/>
          <w:color w:val="auto"/>
          <w:kern w:val="0"/>
          <w:sz w:val="28"/>
          <w:szCs w:val="28"/>
          <w:highlight w:val="none"/>
          <w:shd w:val="clear" w:color="auto" w:fill="FFFFFF"/>
          <w:lang w:val="en-US" w:eastAsia="zh-CN"/>
        </w:rPr>
        <w:t>设</w:t>
      </w:r>
      <w:r>
        <w:rPr>
          <w:rFonts w:hint="eastAsia" w:cs="Times New Roman"/>
          <w:color w:val="auto"/>
          <w:kern w:val="0"/>
          <w:sz w:val="28"/>
          <w:szCs w:val="28"/>
          <w:highlight w:val="none"/>
          <w:shd w:val="clear" w:color="auto" w:fill="FFFFFF"/>
        </w:rPr>
        <w:t>局</w:t>
      </w:r>
      <w:r>
        <w:rPr>
          <w:rFonts w:hint="eastAsia" w:cs="Times New Roman"/>
          <w:color w:val="auto"/>
          <w:kern w:val="0"/>
          <w:sz w:val="28"/>
          <w:szCs w:val="28"/>
          <w:highlight w:val="none"/>
          <w:shd w:val="clear" w:color="auto" w:fill="FFFFFF"/>
          <w:lang w:val="en-US" w:eastAsia="zh-CN"/>
        </w:rPr>
        <w:t>综合各部门书面审查意见，</w:t>
      </w:r>
      <w:r>
        <w:rPr>
          <w:color w:val="auto"/>
          <w:sz w:val="28"/>
          <w:szCs w:val="28"/>
          <w:highlight w:val="none"/>
          <w:shd w:val="clear" w:color="auto" w:fill="FFFFFF"/>
        </w:rPr>
        <w:t>报</w:t>
      </w:r>
      <w:r>
        <w:rPr>
          <w:rFonts w:hint="eastAsia" w:cs="Times New Roman"/>
          <w:color w:val="auto"/>
          <w:kern w:val="0"/>
          <w:sz w:val="28"/>
          <w:szCs w:val="28"/>
          <w:highlight w:val="none"/>
          <w:shd w:val="clear" w:color="auto" w:fill="FFFFFF"/>
        </w:rPr>
        <w:t>阳山</w:t>
      </w:r>
      <w:r>
        <w:rPr>
          <w:color w:val="auto"/>
          <w:sz w:val="28"/>
          <w:szCs w:val="28"/>
          <w:highlight w:val="none"/>
          <w:shd w:val="clear" w:color="auto" w:fill="FFFFFF"/>
        </w:rPr>
        <w:t>县</w:t>
      </w:r>
      <w:r>
        <w:rPr>
          <w:rFonts w:hint="eastAsia"/>
          <w:color w:val="auto"/>
          <w:sz w:val="28"/>
          <w:szCs w:val="28"/>
          <w:highlight w:val="none"/>
          <w:shd w:val="clear" w:color="auto" w:fill="FFFFFF"/>
          <w:lang w:val="en-US" w:eastAsia="zh-CN"/>
        </w:rPr>
        <w:t>人民</w:t>
      </w:r>
      <w:r>
        <w:rPr>
          <w:color w:val="auto"/>
          <w:sz w:val="28"/>
          <w:szCs w:val="28"/>
          <w:highlight w:val="none"/>
          <w:shd w:val="clear" w:color="auto" w:fill="FFFFFF"/>
        </w:rPr>
        <w:t>政府</w:t>
      </w:r>
      <w:r>
        <w:rPr>
          <w:rFonts w:hint="eastAsia"/>
          <w:color w:val="auto"/>
          <w:sz w:val="28"/>
          <w:szCs w:val="28"/>
          <w:highlight w:val="none"/>
          <w:shd w:val="clear" w:color="auto" w:fill="FFFFFF"/>
          <w:lang w:val="en-US" w:eastAsia="zh-CN"/>
        </w:rPr>
        <w:t>审定特许经营项目实施方案，并依法向社会公开</w:t>
      </w:r>
      <w:r>
        <w:rPr>
          <w:rFonts w:hint="eastAsia"/>
          <w:color w:val="auto"/>
          <w:sz w:val="28"/>
          <w:szCs w:val="28"/>
          <w:highlight w:val="none"/>
          <w:shd w:val="clear" w:color="auto" w:fill="FFFFFF"/>
        </w:rPr>
        <w:t>。</w:t>
      </w:r>
    </w:p>
    <w:p>
      <w:pPr>
        <w:autoSpaceDE w:val="0"/>
        <w:autoSpaceDN w:val="0"/>
        <w:adjustRightInd w:val="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 xml:space="preserve">    </w:t>
      </w:r>
      <w:r>
        <w:rPr>
          <w:rFonts w:hint="eastAsia" w:cs="Times New Roman"/>
          <w:color w:val="auto"/>
          <w:kern w:val="0"/>
          <w:sz w:val="28"/>
          <w:szCs w:val="28"/>
          <w:highlight w:val="none"/>
          <w:shd w:val="clear" w:color="auto" w:fill="FFFFFF"/>
          <w:lang w:val="en-US" w:eastAsia="zh-CN"/>
        </w:rPr>
        <w:t>5</w:t>
      </w:r>
      <w:r>
        <w:rPr>
          <w:rFonts w:hint="eastAsia" w:cs="Times New Roman"/>
          <w:color w:val="auto"/>
          <w:kern w:val="0"/>
          <w:sz w:val="28"/>
          <w:szCs w:val="28"/>
          <w:highlight w:val="none"/>
          <w:shd w:val="clear" w:color="auto" w:fill="FFFFFF"/>
        </w:rPr>
        <w:t>.阳山县住</w:t>
      </w:r>
      <w:r>
        <w:rPr>
          <w:rFonts w:hint="eastAsia" w:cs="Times New Roman"/>
          <w:color w:val="auto"/>
          <w:kern w:val="0"/>
          <w:sz w:val="28"/>
          <w:szCs w:val="28"/>
          <w:highlight w:val="none"/>
          <w:shd w:val="clear" w:color="auto" w:fill="FFFFFF"/>
          <w:lang w:val="en-US" w:eastAsia="zh-CN"/>
        </w:rPr>
        <w:t>房和城乡建设</w:t>
      </w:r>
      <w:r>
        <w:rPr>
          <w:rFonts w:hint="eastAsia" w:cs="Times New Roman"/>
          <w:color w:val="auto"/>
          <w:kern w:val="0"/>
          <w:sz w:val="28"/>
          <w:szCs w:val="28"/>
          <w:highlight w:val="none"/>
          <w:shd w:val="clear" w:color="auto" w:fill="FFFFFF"/>
        </w:rPr>
        <w:t>局</w:t>
      </w:r>
      <w:r>
        <w:rPr>
          <w:rFonts w:hint="eastAsia" w:cs="Times New Roman"/>
          <w:color w:val="auto"/>
          <w:kern w:val="0"/>
          <w:sz w:val="28"/>
          <w:szCs w:val="28"/>
          <w:highlight w:val="none"/>
          <w:shd w:val="clear" w:color="auto" w:fill="FFFFFF"/>
          <w:lang w:val="en-US" w:eastAsia="zh-CN"/>
        </w:rPr>
        <w:t>经</w:t>
      </w:r>
      <w:r>
        <w:rPr>
          <w:rFonts w:hint="eastAsia" w:cs="Times New Roman"/>
          <w:color w:val="auto"/>
          <w:kern w:val="0"/>
          <w:sz w:val="28"/>
          <w:szCs w:val="28"/>
          <w:highlight w:val="none"/>
          <w:shd w:val="clear" w:color="auto" w:fill="FFFFFF"/>
        </w:rPr>
        <w:t>阳山县人民政府授权，以</w:t>
      </w:r>
      <w:r>
        <w:rPr>
          <w:rFonts w:hint="eastAsia" w:cs="Times New Roman"/>
          <w:color w:val="auto"/>
          <w:kern w:val="0"/>
          <w:sz w:val="28"/>
          <w:szCs w:val="28"/>
          <w:highlight w:val="none"/>
          <w:shd w:val="clear" w:color="auto" w:fill="FFFFFF"/>
          <w:lang w:val="en-US" w:eastAsia="zh-CN"/>
        </w:rPr>
        <w:t>公开</w:t>
      </w:r>
      <w:r>
        <w:rPr>
          <w:rFonts w:hint="eastAsia" w:cs="Times New Roman"/>
          <w:color w:val="auto"/>
          <w:kern w:val="0"/>
          <w:sz w:val="28"/>
          <w:szCs w:val="28"/>
          <w:highlight w:val="none"/>
          <w:shd w:val="clear" w:color="auto" w:fill="FFFFFF"/>
        </w:rPr>
        <w:t>招标的方法确定管道燃气特许经营权经营者。</w:t>
      </w:r>
    </w:p>
    <w:p>
      <w:pPr>
        <w:autoSpaceDE w:val="0"/>
        <w:autoSpaceDN w:val="0"/>
        <w:adjustRightInd w:val="0"/>
        <w:ind w:firstLine="560"/>
        <w:jc w:val="left"/>
        <w:rPr>
          <w:rFonts w:hint="eastAsia"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lang w:val="en-US" w:eastAsia="zh-CN"/>
        </w:rPr>
        <w:t>6</w:t>
      </w:r>
      <w:r>
        <w:rPr>
          <w:rFonts w:hint="eastAsia" w:cs="Times New Roman"/>
          <w:color w:val="auto"/>
          <w:kern w:val="0"/>
          <w:sz w:val="28"/>
          <w:szCs w:val="28"/>
          <w:highlight w:val="none"/>
          <w:shd w:val="clear" w:color="auto" w:fill="FFFFFF"/>
        </w:rPr>
        <w:t>.阳山县管道燃气行政主管部门</w:t>
      </w:r>
      <w:r>
        <w:rPr>
          <w:rFonts w:hint="eastAsia" w:cs="Times New Roman"/>
          <w:color w:val="auto"/>
          <w:kern w:val="0"/>
          <w:sz w:val="28"/>
          <w:szCs w:val="28"/>
          <w:highlight w:val="none"/>
          <w:shd w:val="clear" w:color="auto" w:fill="FFFFFF"/>
          <w:lang w:val="en-US" w:eastAsia="zh-CN"/>
        </w:rPr>
        <w:t>经</w:t>
      </w:r>
      <w:r>
        <w:rPr>
          <w:rFonts w:hint="eastAsia" w:cs="Times New Roman"/>
          <w:color w:val="auto"/>
          <w:kern w:val="0"/>
          <w:sz w:val="28"/>
          <w:szCs w:val="28"/>
          <w:highlight w:val="none"/>
          <w:shd w:val="clear" w:color="auto" w:fill="FFFFFF"/>
        </w:rPr>
        <w:t>阳山县人民政府授权</w:t>
      </w:r>
      <w:r>
        <w:rPr>
          <w:rFonts w:hint="eastAsia" w:cs="Times New Roman"/>
          <w:color w:val="auto"/>
          <w:kern w:val="0"/>
          <w:sz w:val="28"/>
          <w:szCs w:val="28"/>
          <w:highlight w:val="none"/>
          <w:shd w:val="clear" w:color="auto" w:fill="FFFFFF"/>
          <w:lang w:eastAsia="zh-CN"/>
        </w:rPr>
        <w:t>，</w:t>
      </w:r>
      <w:r>
        <w:rPr>
          <w:rFonts w:hint="eastAsia" w:cs="Times New Roman"/>
          <w:color w:val="auto"/>
          <w:kern w:val="0"/>
          <w:sz w:val="28"/>
          <w:szCs w:val="28"/>
          <w:highlight w:val="none"/>
          <w:shd w:val="clear" w:color="auto" w:fill="FFFFFF"/>
          <w:lang w:val="en-US" w:eastAsia="zh-CN"/>
        </w:rPr>
        <w:t>与</w:t>
      </w:r>
      <w:r>
        <w:rPr>
          <w:rFonts w:hint="eastAsia" w:cs="Times New Roman"/>
          <w:color w:val="auto"/>
          <w:kern w:val="0"/>
          <w:sz w:val="28"/>
          <w:szCs w:val="28"/>
          <w:highlight w:val="none"/>
          <w:shd w:val="clear" w:color="auto" w:fill="FFFFFF"/>
        </w:rPr>
        <w:t>管道燃气特许经营权中标单位签署</w:t>
      </w:r>
      <w:r>
        <w:rPr>
          <w:rFonts w:hint="eastAsia" w:cs="Times New Roman"/>
          <w:color w:val="auto"/>
          <w:kern w:val="0"/>
          <w:sz w:val="28"/>
          <w:szCs w:val="28"/>
          <w:highlight w:val="none"/>
          <w:shd w:val="clear" w:color="auto" w:fill="FFFFFF"/>
          <w:lang w:val="en-US" w:eastAsia="zh-CN"/>
        </w:rPr>
        <w:t>阳山县</w:t>
      </w:r>
      <w:r>
        <w:rPr>
          <w:rFonts w:hint="eastAsia" w:cs="Times New Roman"/>
          <w:color w:val="auto"/>
          <w:kern w:val="0"/>
          <w:sz w:val="28"/>
          <w:szCs w:val="28"/>
          <w:highlight w:val="none"/>
          <w:shd w:val="clear" w:color="auto" w:fill="FFFFFF"/>
        </w:rPr>
        <w:t>管道燃气特许经营权协议。</w:t>
      </w:r>
    </w:p>
    <w:p>
      <w:pPr>
        <w:autoSpaceDE w:val="0"/>
        <w:autoSpaceDN w:val="0"/>
        <w:adjustRightInd w:val="0"/>
        <w:ind w:firstLine="560"/>
        <w:jc w:val="left"/>
        <w:rPr>
          <w:rFonts w:hint="eastAsia" w:cs="Times New Roman"/>
          <w:color w:val="auto"/>
          <w:kern w:val="0"/>
          <w:sz w:val="28"/>
          <w:szCs w:val="28"/>
          <w:highlight w:val="none"/>
          <w:shd w:val="clear" w:color="auto" w:fill="FFFFFF"/>
        </w:rPr>
      </w:pPr>
    </w:p>
    <w:p>
      <w:pPr>
        <w:pStyle w:val="22"/>
        <w:widowControl/>
        <w:shd w:val="clear" w:color="auto" w:fill="FFFFFF"/>
        <w:spacing w:beforeAutospacing="0" w:afterAutospacing="0" w:line="360" w:lineRule="atLeast"/>
        <w:ind w:firstLine="420"/>
        <w:rPr>
          <w:color w:val="auto"/>
          <w:sz w:val="28"/>
          <w:szCs w:val="28"/>
          <w:highlight w:val="none"/>
          <w:shd w:val="clear" w:color="auto" w:fill="FFFFFF"/>
        </w:rPr>
      </w:pPr>
    </w:p>
    <w:p>
      <w:pPr>
        <w:pStyle w:val="22"/>
        <w:widowControl/>
        <w:shd w:val="clear" w:color="auto" w:fill="FFFFFF"/>
        <w:spacing w:beforeAutospacing="0" w:afterAutospacing="0" w:line="360" w:lineRule="atLeast"/>
        <w:ind w:firstLine="420"/>
        <w:rPr>
          <w:color w:val="auto"/>
          <w:sz w:val="28"/>
          <w:szCs w:val="28"/>
          <w:highlight w:val="none"/>
          <w:shd w:val="clear" w:color="auto" w:fill="FFFFFF"/>
        </w:rPr>
      </w:pPr>
    </w:p>
    <w:p>
      <w:pPr>
        <w:pStyle w:val="22"/>
        <w:widowControl/>
        <w:shd w:val="clear" w:color="auto" w:fill="FFFFFF"/>
        <w:spacing w:beforeAutospacing="0" w:afterAutospacing="0" w:line="360" w:lineRule="atLeast"/>
        <w:ind w:firstLine="420"/>
        <w:rPr>
          <w:color w:val="auto"/>
          <w:sz w:val="28"/>
          <w:szCs w:val="28"/>
          <w:highlight w:val="none"/>
          <w:shd w:val="clear" w:color="auto" w:fill="FFFFFF"/>
        </w:rPr>
      </w:pPr>
    </w:p>
    <w:p>
      <w:pPr>
        <w:pStyle w:val="22"/>
        <w:widowControl/>
        <w:shd w:val="clear" w:color="auto" w:fill="FFFFFF"/>
        <w:spacing w:beforeAutospacing="0" w:afterAutospacing="0" w:line="360" w:lineRule="atLeast"/>
        <w:ind w:firstLine="420"/>
        <w:rPr>
          <w:color w:val="auto"/>
          <w:sz w:val="28"/>
          <w:szCs w:val="28"/>
          <w:highlight w:val="none"/>
          <w:shd w:val="clear" w:color="auto" w:fill="FFFFFF"/>
        </w:rPr>
      </w:pPr>
    </w:p>
    <w:p>
      <w:pPr>
        <w:pStyle w:val="22"/>
        <w:widowControl/>
        <w:shd w:val="clear" w:color="auto" w:fill="FFFFFF"/>
        <w:spacing w:beforeAutospacing="0" w:afterAutospacing="0" w:line="360" w:lineRule="atLeast"/>
        <w:ind w:firstLine="420"/>
        <w:rPr>
          <w:color w:val="auto"/>
          <w:sz w:val="28"/>
          <w:szCs w:val="28"/>
          <w:highlight w:val="none"/>
          <w:shd w:val="clear" w:color="auto" w:fill="FFFFFF"/>
        </w:rPr>
      </w:pPr>
    </w:p>
    <w:p>
      <w:pPr>
        <w:pStyle w:val="22"/>
        <w:widowControl/>
        <w:shd w:val="clear" w:color="auto" w:fill="FFFFFF"/>
        <w:spacing w:beforeAutospacing="0" w:afterAutospacing="0" w:line="360" w:lineRule="atLeast"/>
        <w:ind w:firstLine="420"/>
        <w:rPr>
          <w:color w:val="auto"/>
          <w:sz w:val="28"/>
          <w:szCs w:val="28"/>
          <w:highlight w:val="none"/>
          <w:shd w:val="clear" w:color="auto" w:fill="FFFFFF"/>
        </w:rPr>
      </w:pPr>
    </w:p>
    <w:p>
      <w:pPr>
        <w:pStyle w:val="22"/>
        <w:widowControl/>
        <w:shd w:val="clear" w:color="auto" w:fill="FFFFFF"/>
        <w:spacing w:beforeAutospacing="0" w:afterAutospacing="0" w:line="360" w:lineRule="atLeast"/>
        <w:ind w:firstLine="420"/>
        <w:rPr>
          <w:color w:val="auto"/>
          <w:sz w:val="28"/>
          <w:szCs w:val="28"/>
          <w:highlight w:val="none"/>
          <w:shd w:val="clear" w:color="auto" w:fill="FFFFFF"/>
        </w:rPr>
      </w:pPr>
    </w:p>
    <w:p>
      <w:pPr>
        <w:pStyle w:val="22"/>
        <w:widowControl/>
        <w:shd w:val="clear" w:color="auto" w:fill="FFFFFF"/>
        <w:spacing w:beforeAutospacing="0" w:afterAutospacing="0" w:line="360" w:lineRule="atLeast"/>
        <w:ind w:firstLine="420"/>
        <w:rPr>
          <w:color w:val="auto"/>
          <w:sz w:val="28"/>
          <w:szCs w:val="28"/>
          <w:highlight w:val="none"/>
          <w:shd w:val="clear" w:color="auto" w:fill="FFFFFF"/>
        </w:rPr>
      </w:pPr>
    </w:p>
    <w:p>
      <w:pPr>
        <w:pStyle w:val="22"/>
        <w:widowControl/>
        <w:shd w:val="clear" w:color="auto" w:fill="FFFFFF"/>
        <w:spacing w:beforeAutospacing="0" w:afterAutospacing="0" w:line="360" w:lineRule="atLeast"/>
        <w:ind w:firstLine="420"/>
        <w:rPr>
          <w:color w:val="auto"/>
          <w:sz w:val="28"/>
          <w:szCs w:val="28"/>
          <w:highlight w:val="none"/>
          <w:shd w:val="clear" w:color="auto" w:fill="FFFFFF"/>
        </w:rPr>
      </w:pPr>
    </w:p>
    <w:p>
      <w:pPr>
        <w:pStyle w:val="22"/>
        <w:widowControl/>
        <w:shd w:val="clear" w:color="auto" w:fill="FFFFFF"/>
        <w:spacing w:beforeAutospacing="0" w:afterAutospacing="0" w:line="360" w:lineRule="atLeast"/>
        <w:rPr>
          <w:color w:val="auto"/>
          <w:sz w:val="28"/>
          <w:szCs w:val="28"/>
          <w:highlight w:val="none"/>
          <w:shd w:val="clear" w:color="auto" w:fill="FFFFFF"/>
        </w:rPr>
      </w:pPr>
    </w:p>
    <w:p>
      <w:pPr>
        <w:pStyle w:val="2"/>
        <w:rPr>
          <w:color w:val="auto"/>
          <w:kern w:val="0"/>
          <w:highlight w:val="none"/>
          <w:shd w:val="clear" w:color="auto" w:fill="FFFFFF"/>
        </w:rPr>
      </w:pPr>
      <w:bookmarkStart w:id="38" w:name="_Toc22659"/>
      <w:bookmarkStart w:id="39" w:name="_Toc29391"/>
      <w:bookmarkStart w:id="40" w:name="_Toc29560"/>
      <w:r>
        <w:rPr>
          <w:rFonts w:hint="eastAsia"/>
          <w:color w:val="auto"/>
          <w:kern w:val="0"/>
          <w:highlight w:val="none"/>
          <w:shd w:val="clear" w:color="auto" w:fill="FFFFFF"/>
        </w:rPr>
        <w:t>第</w:t>
      </w:r>
      <w:r>
        <w:rPr>
          <w:rFonts w:hint="eastAsia"/>
          <w:color w:val="auto"/>
          <w:kern w:val="0"/>
          <w:highlight w:val="none"/>
          <w:shd w:val="clear" w:color="auto" w:fill="FFFFFF"/>
          <w:lang w:eastAsia="zh-CN"/>
        </w:rPr>
        <w:t>三</w:t>
      </w:r>
      <w:r>
        <w:rPr>
          <w:rFonts w:hint="eastAsia"/>
          <w:color w:val="auto"/>
          <w:kern w:val="0"/>
          <w:highlight w:val="none"/>
          <w:shd w:val="clear" w:color="auto" w:fill="FFFFFF"/>
        </w:rPr>
        <w:t>章 项目的</w:t>
      </w:r>
      <w:bookmarkEnd w:id="38"/>
      <w:r>
        <w:rPr>
          <w:rFonts w:hint="eastAsia"/>
          <w:color w:val="auto"/>
          <w:kern w:val="0"/>
          <w:highlight w:val="none"/>
          <w:shd w:val="clear" w:color="auto" w:fill="FFFFFF"/>
        </w:rPr>
        <w:t>主要经济技术指标</w:t>
      </w:r>
      <w:bookmarkEnd w:id="39"/>
      <w:bookmarkEnd w:id="40"/>
    </w:p>
    <w:p>
      <w:pPr>
        <w:rPr>
          <w:color w:val="auto"/>
          <w:highlight w:val="none"/>
        </w:rPr>
      </w:pPr>
    </w:p>
    <w:p>
      <w:pPr>
        <w:pStyle w:val="3"/>
        <w:rPr>
          <w:color w:val="auto"/>
          <w:highlight w:val="none"/>
        </w:rPr>
      </w:pPr>
      <w:bookmarkStart w:id="41" w:name="_Toc10539"/>
      <w:bookmarkStart w:id="42" w:name="_Toc12240"/>
      <w:bookmarkStart w:id="43" w:name="_Toc18264"/>
      <w:r>
        <w:rPr>
          <w:rFonts w:hint="eastAsia"/>
          <w:color w:val="auto"/>
          <w:highlight w:val="none"/>
        </w:rPr>
        <w:t>一.气源保障</w:t>
      </w:r>
      <w:bookmarkEnd w:id="41"/>
      <w:bookmarkEnd w:id="42"/>
      <w:bookmarkEnd w:id="43"/>
    </w:p>
    <w:p>
      <w:pPr>
        <w:autoSpaceDE w:val="0"/>
        <w:autoSpaceDN w:val="0"/>
        <w:adjustRightInd w:val="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 xml:space="preserve">    管道燃气</w:t>
      </w:r>
      <w:r>
        <w:rPr>
          <w:color w:val="auto"/>
          <w:sz w:val="28"/>
          <w:szCs w:val="28"/>
          <w:highlight w:val="none"/>
          <w:shd w:val="clear" w:color="auto" w:fill="FFFFFF"/>
        </w:rPr>
        <w:t>特许经营</w:t>
      </w:r>
      <w:r>
        <w:rPr>
          <w:rFonts w:hint="eastAsia"/>
          <w:color w:val="auto"/>
          <w:sz w:val="28"/>
          <w:szCs w:val="28"/>
          <w:highlight w:val="none"/>
          <w:shd w:val="clear" w:color="auto" w:fill="FFFFFF"/>
        </w:rPr>
        <w:t>企业</w:t>
      </w:r>
      <w:r>
        <w:rPr>
          <w:rFonts w:hint="eastAsia" w:cs="Times New Roman"/>
          <w:color w:val="auto"/>
          <w:kern w:val="0"/>
          <w:sz w:val="28"/>
          <w:szCs w:val="28"/>
          <w:highlight w:val="none"/>
          <w:shd w:val="clear" w:color="auto" w:fill="FFFFFF"/>
        </w:rPr>
        <w:t>应保证</w:t>
      </w:r>
      <w:r>
        <w:rPr>
          <w:color w:val="auto"/>
          <w:sz w:val="28"/>
          <w:szCs w:val="28"/>
          <w:highlight w:val="none"/>
          <w:shd w:val="clear" w:color="auto" w:fill="FFFFFF"/>
        </w:rPr>
        <w:t>在</w:t>
      </w:r>
      <w:r>
        <w:rPr>
          <w:rFonts w:hint="eastAsia" w:cs="Times New Roman"/>
          <w:color w:val="auto"/>
          <w:kern w:val="0"/>
          <w:sz w:val="28"/>
          <w:szCs w:val="28"/>
          <w:highlight w:val="none"/>
          <w:shd w:val="clear" w:color="auto" w:fill="FFFFFF"/>
        </w:rPr>
        <w:t>特许</w:t>
      </w:r>
      <w:r>
        <w:rPr>
          <w:color w:val="auto"/>
          <w:sz w:val="28"/>
          <w:szCs w:val="28"/>
          <w:highlight w:val="none"/>
          <w:shd w:val="clear" w:color="auto" w:fill="FFFFFF"/>
        </w:rPr>
        <w:t>经营期限内</w:t>
      </w:r>
      <w:r>
        <w:rPr>
          <w:rFonts w:hint="eastAsia"/>
          <w:color w:val="auto"/>
          <w:sz w:val="28"/>
          <w:szCs w:val="28"/>
          <w:highlight w:val="none"/>
          <w:shd w:val="clear" w:color="auto" w:fill="FFFFFF"/>
        </w:rPr>
        <w:t>，</w:t>
      </w:r>
      <w:r>
        <w:rPr>
          <w:rFonts w:hint="eastAsia" w:cs="Times New Roman"/>
          <w:color w:val="auto"/>
          <w:kern w:val="0"/>
          <w:sz w:val="28"/>
          <w:szCs w:val="28"/>
          <w:highlight w:val="none"/>
          <w:shd w:val="clear" w:color="auto" w:fill="FFFFFF"/>
        </w:rPr>
        <w:t>特许</w:t>
      </w:r>
      <w:r>
        <w:rPr>
          <w:color w:val="auto"/>
          <w:sz w:val="28"/>
          <w:szCs w:val="28"/>
          <w:highlight w:val="none"/>
          <w:shd w:val="clear" w:color="auto" w:fill="FFFFFF"/>
        </w:rPr>
        <w:t>经营</w:t>
      </w:r>
      <w:r>
        <w:rPr>
          <w:rFonts w:hint="eastAsia"/>
          <w:color w:val="auto"/>
          <w:sz w:val="28"/>
          <w:szCs w:val="28"/>
          <w:highlight w:val="none"/>
          <w:shd w:val="clear" w:color="auto" w:fill="FFFFFF"/>
        </w:rPr>
        <w:t>区域</w:t>
      </w:r>
      <w:r>
        <w:rPr>
          <w:color w:val="auto"/>
          <w:sz w:val="28"/>
          <w:szCs w:val="28"/>
          <w:highlight w:val="none"/>
          <w:shd w:val="clear" w:color="auto" w:fill="FFFFFF"/>
        </w:rPr>
        <w:t>内</w:t>
      </w:r>
      <w:r>
        <w:rPr>
          <w:rFonts w:hint="eastAsia"/>
          <w:color w:val="auto"/>
          <w:sz w:val="28"/>
          <w:szCs w:val="28"/>
          <w:highlight w:val="none"/>
          <w:shd w:val="clear" w:color="auto" w:fill="FFFFFF"/>
        </w:rPr>
        <w:t>，</w:t>
      </w:r>
      <w:r>
        <w:rPr>
          <w:color w:val="auto"/>
          <w:sz w:val="28"/>
          <w:szCs w:val="28"/>
          <w:highlight w:val="none"/>
          <w:shd w:val="clear" w:color="auto" w:fill="FFFFFF"/>
        </w:rPr>
        <w:t>供气量充足</w:t>
      </w:r>
      <w:r>
        <w:rPr>
          <w:rFonts w:hint="eastAsia"/>
          <w:color w:val="auto"/>
          <w:sz w:val="28"/>
          <w:szCs w:val="28"/>
          <w:highlight w:val="none"/>
          <w:shd w:val="clear" w:color="auto" w:fill="FFFFFF"/>
        </w:rPr>
        <w:t>，</w:t>
      </w:r>
      <w:r>
        <w:rPr>
          <w:color w:val="auto"/>
          <w:sz w:val="28"/>
          <w:szCs w:val="28"/>
          <w:highlight w:val="none"/>
          <w:shd w:val="clear" w:color="auto" w:fill="FFFFFF"/>
        </w:rPr>
        <w:t>并建立应急气源保障机制</w:t>
      </w:r>
      <w:r>
        <w:rPr>
          <w:rFonts w:hint="eastAsia"/>
          <w:color w:val="auto"/>
          <w:sz w:val="28"/>
          <w:szCs w:val="28"/>
          <w:highlight w:val="none"/>
          <w:shd w:val="clear" w:color="auto" w:fill="FFFFFF"/>
        </w:rPr>
        <w:t>。</w:t>
      </w:r>
    </w:p>
    <w:p>
      <w:pPr>
        <w:pStyle w:val="3"/>
        <w:rPr>
          <w:color w:val="auto"/>
          <w:highlight w:val="none"/>
        </w:rPr>
      </w:pPr>
      <w:bookmarkStart w:id="44" w:name="_Toc30970"/>
      <w:bookmarkStart w:id="45" w:name="_Toc22649"/>
      <w:bookmarkStart w:id="46" w:name="_Toc10760"/>
      <w:r>
        <w:rPr>
          <w:rFonts w:hint="eastAsia"/>
          <w:color w:val="auto"/>
          <w:highlight w:val="none"/>
        </w:rPr>
        <w:t>二.产品质量</w:t>
      </w:r>
      <w:bookmarkEnd w:id="44"/>
      <w:bookmarkEnd w:id="45"/>
      <w:bookmarkEnd w:id="46"/>
    </w:p>
    <w:p>
      <w:pPr>
        <w:autoSpaceDE w:val="0"/>
        <w:autoSpaceDN w:val="0"/>
        <w:adjustRightInd w:val="0"/>
        <w:jc w:val="left"/>
        <w:rPr>
          <w:color w:val="auto"/>
          <w:sz w:val="28"/>
          <w:szCs w:val="28"/>
          <w:highlight w:val="none"/>
          <w:shd w:val="clear" w:color="auto" w:fill="FFFFFF"/>
        </w:rPr>
      </w:pPr>
      <w:r>
        <w:rPr>
          <w:rFonts w:hint="eastAsia" w:cs="Times New Roman"/>
          <w:color w:val="auto"/>
          <w:kern w:val="0"/>
          <w:sz w:val="28"/>
          <w:szCs w:val="28"/>
          <w:highlight w:val="none"/>
          <w:shd w:val="clear" w:color="auto" w:fill="FFFFFF"/>
        </w:rPr>
        <w:t xml:space="preserve">    管道燃气</w:t>
      </w:r>
      <w:r>
        <w:rPr>
          <w:color w:val="auto"/>
          <w:sz w:val="28"/>
          <w:szCs w:val="28"/>
          <w:highlight w:val="none"/>
          <w:shd w:val="clear" w:color="auto" w:fill="FFFFFF"/>
        </w:rPr>
        <w:t>特许经营</w:t>
      </w:r>
      <w:r>
        <w:rPr>
          <w:rFonts w:hint="eastAsia"/>
          <w:color w:val="auto"/>
          <w:sz w:val="28"/>
          <w:szCs w:val="28"/>
          <w:highlight w:val="none"/>
          <w:shd w:val="clear" w:color="auto" w:fill="FFFFFF"/>
        </w:rPr>
        <w:t>企业建立质量保证体系，确保其向用户所供应的燃气质量、管输和灶前压力、燃烧热值、华白指数、燃气加臭等方面符合国家相关文件规定的质量要求。</w:t>
      </w:r>
    </w:p>
    <w:p>
      <w:pPr>
        <w:autoSpaceDE w:val="0"/>
        <w:autoSpaceDN w:val="0"/>
        <w:adjustRightInd w:val="0"/>
        <w:jc w:val="left"/>
        <w:rPr>
          <w:color w:val="auto"/>
          <w:sz w:val="28"/>
          <w:szCs w:val="28"/>
          <w:highlight w:val="none"/>
          <w:shd w:val="clear" w:color="auto" w:fill="FFFFFF"/>
        </w:rPr>
      </w:pPr>
      <w:r>
        <w:rPr>
          <w:rFonts w:hint="eastAsia"/>
          <w:color w:val="auto"/>
          <w:sz w:val="28"/>
          <w:szCs w:val="28"/>
          <w:highlight w:val="none"/>
          <w:shd w:val="clear" w:color="auto" w:fill="FFFFFF"/>
        </w:rPr>
        <w:t xml:space="preserve">    管道燃气的质量应符合以下要求：</w:t>
      </w:r>
    </w:p>
    <w:p>
      <w:pPr>
        <w:autoSpaceDE w:val="0"/>
        <w:autoSpaceDN w:val="0"/>
        <w:adjustRightInd w:val="0"/>
        <w:jc w:val="left"/>
        <w:rPr>
          <w:color w:val="auto"/>
          <w:sz w:val="28"/>
          <w:szCs w:val="28"/>
          <w:highlight w:val="none"/>
          <w:shd w:val="clear" w:color="auto" w:fill="FFFFFF"/>
        </w:rPr>
      </w:pPr>
      <w:r>
        <w:rPr>
          <w:rFonts w:hint="eastAsia"/>
          <w:color w:val="auto"/>
          <w:sz w:val="28"/>
          <w:szCs w:val="28"/>
          <w:highlight w:val="none"/>
          <w:shd w:val="clear" w:color="auto" w:fill="FFFFFF"/>
        </w:rPr>
        <w:t xml:space="preserve">    1.天然气气体质量应符合国家现行标准《天然气》GB17820-2012中的相关规定。</w:t>
      </w:r>
    </w:p>
    <w:p>
      <w:pPr>
        <w:autoSpaceDE w:val="0"/>
        <w:autoSpaceDN w:val="0"/>
        <w:adjustRightInd w:val="0"/>
        <w:jc w:val="left"/>
        <w:rPr>
          <w:color w:val="auto"/>
          <w:sz w:val="28"/>
          <w:szCs w:val="28"/>
          <w:highlight w:val="none"/>
          <w:shd w:val="clear" w:color="auto" w:fill="FFFFFF"/>
        </w:rPr>
      </w:pPr>
      <w:r>
        <w:rPr>
          <w:rFonts w:hint="eastAsia"/>
          <w:color w:val="auto"/>
          <w:sz w:val="28"/>
          <w:szCs w:val="28"/>
          <w:highlight w:val="none"/>
          <w:shd w:val="clear" w:color="auto" w:fill="FFFFFF"/>
        </w:rPr>
        <w:t xml:space="preserve">    2.燃气加臭应符合国家现行标准《城镇燃气设计规范》GB50028-2006中的相关规定。</w:t>
      </w:r>
    </w:p>
    <w:p>
      <w:pPr>
        <w:autoSpaceDE w:val="0"/>
        <w:autoSpaceDN w:val="0"/>
        <w:adjustRightInd w:val="0"/>
        <w:jc w:val="left"/>
        <w:rPr>
          <w:rFonts w:cs="Times New Roman"/>
          <w:color w:val="auto"/>
          <w:kern w:val="0"/>
          <w:sz w:val="28"/>
          <w:szCs w:val="28"/>
          <w:highlight w:val="none"/>
          <w:shd w:val="clear" w:color="auto" w:fill="FFFFFF"/>
        </w:rPr>
      </w:pPr>
      <w:r>
        <w:rPr>
          <w:rFonts w:hint="eastAsia"/>
          <w:color w:val="auto"/>
          <w:sz w:val="28"/>
          <w:szCs w:val="28"/>
          <w:highlight w:val="none"/>
          <w:shd w:val="clear" w:color="auto" w:fill="FFFFFF"/>
        </w:rPr>
        <w:t xml:space="preserve">    3. 燃气供气压力应符合国家现行标准《城镇燃气设计规范》GB50028-2006中的相关规定。</w:t>
      </w:r>
    </w:p>
    <w:p>
      <w:pPr>
        <w:pStyle w:val="3"/>
        <w:rPr>
          <w:color w:val="auto"/>
          <w:highlight w:val="none"/>
        </w:rPr>
      </w:pPr>
      <w:bookmarkStart w:id="47" w:name="_Toc23729"/>
      <w:bookmarkStart w:id="48" w:name="_Toc32423"/>
      <w:bookmarkStart w:id="49" w:name="_Toc30715"/>
      <w:r>
        <w:rPr>
          <w:rFonts w:hint="eastAsia"/>
          <w:color w:val="auto"/>
          <w:highlight w:val="none"/>
        </w:rPr>
        <w:t>三.服务标准</w:t>
      </w:r>
      <w:bookmarkEnd w:id="47"/>
      <w:bookmarkEnd w:id="48"/>
      <w:bookmarkEnd w:id="49"/>
    </w:p>
    <w:p>
      <w:pPr>
        <w:autoSpaceDE w:val="0"/>
        <w:autoSpaceDN w:val="0"/>
        <w:adjustRightInd w:val="0"/>
        <w:jc w:val="left"/>
        <w:rPr>
          <w:color w:val="auto"/>
          <w:sz w:val="28"/>
          <w:szCs w:val="28"/>
          <w:highlight w:val="none"/>
          <w:shd w:val="clear" w:color="auto" w:fill="FFFFFF"/>
        </w:rPr>
      </w:pPr>
      <w:r>
        <w:rPr>
          <w:rFonts w:hint="eastAsia" w:cs="Times New Roman"/>
          <w:color w:val="auto"/>
          <w:kern w:val="0"/>
          <w:sz w:val="28"/>
          <w:szCs w:val="28"/>
          <w:highlight w:val="none"/>
          <w:shd w:val="clear" w:color="auto" w:fill="FFFFFF"/>
        </w:rPr>
        <w:t xml:space="preserve">    管道燃气</w:t>
      </w:r>
      <w:r>
        <w:rPr>
          <w:color w:val="auto"/>
          <w:sz w:val="28"/>
          <w:szCs w:val="28"/>
          <w:highlight w:val="none"/>
          <w:shd w:val="clear" w:color="auto" w:fill="FFFFFF"/>
        </w:rPr>
        <w:t>特许经营</w:t>
      </w:r>
      <w:r>
        <w:rPr>
          <w:rFonts w:hint="eastAsia"/>
          <w:color w:val="auto"/>
          <w:sz w:val="28"/>
          <w:szCs w:val="28"/>
          <w:highlight w:val="none"/>
          <w:shd w:val="clear" w:color="auto" w:fill="FFFFFF"/>
        </w:rPr>
        <w:t>企业根据用户的实际需要向用户提供业务热线、用户维修服务网点、营业接待、定期抄表、设施安装检修等综合服务，努力提高服务水平。</w:t>
      </w:r>
    </w:p>
    <w:p>
      <w:pPr>
        <w:pStyle w:val="3"/>
        <w:rPr>
          <w:color w:val="auto"/>
          <w:highlight w:val="none"/>
        </w:rPr>
      </w:pPr>
      <w:bookmarkStart w:id="50" w:name="_Toc25876"/>
      <w:bookmarkStart w:id="51" w:name="_Toc30673"/>
      <w:bookmarkStart w:id="52" w:name="_Toc14670"/>
      <w:r>
        <w:rPr>
          <w:rFonts w:hint="eastAsia"/>
          <w:color w:val="auto"/>
          <w:highlight w:val="none"/>
        </w:rPr>
        <w:t>四.供气安全</w:t>
      </w:r>
      <w:bookmarkEnd w:id="50"/>
      <w:bookmarkEnd w:id="51"/>
      <w:bookmarkEnd w:id="52"/>
    </w:p>
    <w:p>
      <w:pPr>
        <w:autoSpaceDE w:val="0"/>
        <w:autoSpaceDN w:val="0"/>
        <w:adjustRightInd w:val="0"/>
        <w:jc w:val="left"/>
        <w:rPr>
          <w:color w:val="auto"/>
          <w:sz w:val="28"/>
          <w:szCs w:val="28"/>
          <w:highlight w:val="none"/>
          <w:shd w:val="clear" w:color="auto" w:fill="FFFFFF"/>
        </w:rPr>
      </w:pPr>
      <w:r>
        <w:rPr>
          <w:rFonts w:hint="eastAsia" w:cs="Times New Roman"/>
          <w:color w:val="auto"/>
          <w:kern w:val="0"/>
          <w:sz w:val="28"/>
          <w:szCs w:val="28"/>
          <w:highlight w:val="none"/>
          <w:shd w:val="clear" w:color="auto" w:fill="FFFFFF"/>
        </w:rPr>
        <w:t xml:space="preserve">    管道燃气</w:t>
      </w:r>
      <w:r>
        <w:rPr>
          <w:color w:val="auto"/>
          <w:sz w:val="28"/>
          <w:szCs w:val="28"/>
          <w:highlight w:val="none"/>
          <w:shd w:val="clear" w:color="auto" w:fill="FFFFFF"/>
        </w:rPr>
        <w:t>特许经营</w:t>
      </w:r>
      <w:r>
        <w:rPr>
          <w:rFonts w:hint="eastAsia"/>
          <w:color w:val="auto"/>
          <w:sz w:val="28"/>
          <w:szCs w:val="28"/>
          <w:highlight w:val="none"/>
          <w:shd w:val="clear" w:color="auto" w:fill="FFFFFF"/>
        </w:rPr>
        <w:t>企业严格遵守国家和地方有关安全的法律、法规、规章及政策性文件，承诺燃气供应、运行、质量、安全、服务符合国家、行业和地方相关标准，依法对特许经营区域内的管道燃气供气安全、公共安全和安全使用宣传负责。</w:t>
      </w:r>
    </w:p>
    <w:p>
      <w:pPr>
        <w:autoSpaceDE w:val="0"/>
        <w:autoSpaceDN w:val="0"/>
        <w:adjustRightInd w:val="0"/>
        <w:ind w:firstLine="560"/>
        <w:jc w:val="left"/>
        <w:rPr>
          <w:color w:val="auto"/>
          <w:sz w:val="28"/>
          <w:szCs w:val="28"/>
          <w:highlight w:val="none"/>
          <w:shd w:val="clear" w:color="auto" w:fill="FFFFFF"/>
        </w:rPr>
      </w:pPr>
      <w:r>
        <w:rPr>
          <w:rFonts w:hint="eastAsia" w:cs="Times New Roman"/>
          <w:color w:val="auto"/>
          <w:kern w:val="0"/>
          <w:sz w:val="28"/>
          <w:szCs w:val="28"/>
          <w:highlight w:val="none"/>
          <w:shd w:val="clear" w:color="auto" w:fill="FFFFFF"/>
        </w:rPr>
        <w:t>管道燃气</w:t>
      </w:r>
      <w:r>
        <w:rPr>
          <w:color w:val="auto"/>
          <w:sz w:val="28"/>
          <w:szCs w:val="28"/>
          <w:highlight w:val="none"/>
          <w:shd w:val="clear" w:color="auto" w:fill="FFFFFF"/>
        </w:rPr>
        <w:t>特许经营</w:t>
      </w:r>
      <w:r>
        <w:rPr>
          <w:rFonts w:hint="eastAsia"/>
          <w:color w:val="auto"/>
          <w:sz w:val="28"/>
          <w:szCs w:val="28"/>
          <w:highlight w:val="none"/>
          <w:shd w:val="clear" w:color="auto" w:fill="FFFFFF"/>
        </w:rPr>
        <w:t>企业应建立和完善安全生产责任制度，建立安全生产保证体系，保障燃气安全和稳定供应、运行和服务，防止责任事故发生；</w:t>
      </w:r>
      <w:r>
        <w:rPr>
          <w:color w:val="auto"/>
          <w:sz w:val="28"/>
          <w:szCs w:val="28"/>
          <w:highlight w:val="none"/>
          <w:shd w:val="clear" w:color="auto" w:fill="FFFFFF"/>
        </w:rPr>
        <w:br w:type="textWrapping"/>
      </w:r>
      <w:r>
        <w:rPr>
          <w:rFonts w:hint="eastAsia"/>
          <w:color w:val="auto"/>
          <w:sz w:val="28"/>
          <w:szCs w:val="28"/>
          <w:highlight w:val="none"/>
          <w:shd w:val="clear" w:color="auto" w:fill="FFFFFF"/>
        </w:rPr>
        <w:t>对出现燃气事故和在事故期间，</w:t>
      </w:r>
      <w:r>
        <w:rPr>
          <w:rFonts w:hint="eastAsia" w:cs="Times New Roman"/>
          <w:color w:val="auto"/>
          <w:kern w:val="0"/>
          <w:sz w:val="28"/>
          <w:szCs w:val="28"/>
          <w:highlight w:val="none"/>
          <w:shd w:val="clear" w:color="auto" w:fill="FFFFFF"/>
        </w:rPr>
        <w:t>管道燃气</w:t>
      </w:r>
      <w:r>
        <w:rPr>
          <w:color w:val="auto"/>
          <w:sz w:val="28"/>
          <w:szCs w:val="28"/>
          <w:highlight w:val="none"/>
          <w:shd w:val="clear" w:color="auto" w:fill="FFFFFF"/>
        </w:rPr>
        <w:t>特许经营</w:t>
      </w:r>
      <w:r>
        <w:rPr>
          <w:rFonts w:hint="eastAsia"/>
          <w:color w:val="auto"/>
          <w:sz w:val="28"/>
          <w:szCs w:val="28"/>
          <w:highlight w:val="none"/>
          <w:shd w:val="clear" w:color="auto" w:fill="FFFFFF"/>
        </w:rPr>
        <w:t>企业应采取各种应急措施进行补救，尽量减少事故对用户和社会公众的影响，同时必须按照国家有关安全管理规定向有关部门报告。</w:t>
      </w:r>
      <w:r>
        <w:rPr>
          <w:color w:val="auto"/>
          <w:sz w:val="28"/>
          <w:szCs w:val="28"/>
          <w:highlight w:val="none"/>
          <w:shd w:val="clear" w:color="auto" w:fill="FFFFFF"/>
        </w:rPr>
        <w:br w:type="textWrapping"/>
      </w:r>
      <w:r>
        <w:rPr>
          <w:rFonts w:hint="eastAsia"/>
          <w:color w:val="auto"/>
          <w:sz w:val="28"/>
          <w:szCs w:val="28"/>
          <w:highlight w:val="none"/>
          <w:shd w:val="clear" w:color="auto" w:fill="FFFFFF"/>
        </w:rPr>
        <w:t>　　</w:t>
      </w:r>
      <w:r>
        <w:rPr>
          <w:rFonts w:hint="eastAsia" w:cs="Times New Roman"/>
          <w:color w:val="auto"/>
          <w:kern w:val="0"/>
          <w:sz w:val="28"/>
          <w:szCs w:val="28"/>
          <w:highlight w:val="none"/>
          <w:shd w:val="clear" w:color="auto" w:fill="FFFFFF"/>
        </w:rPr>
        <w:t>管道燃气</w:t>
      </w:r>
      <w:r>
        <w:rPr>
          <w:color w:val="auto"/>
          <w:sz w:val="28"/>
          <w:szCs w:val="28"/>
          <w:highlight w:val="none"/>
          <w:shd w:val="clear" w:color="auto" w:fill="FFFFFF"/>
        </w:rPr>
        <w:t>特许经营</w:t>
      </w:r>
      <w:r>
        <w:rPr>
          <w:rFonts w:hint="eastAsia"/>
          <w:color w:val="auto"/>
          <w:sz w:val="28"/>
          <w:szCs w:val="28"/>
          <w:highlight w:val="none"/>
          <w:shd w:val="clear" w:color="auto" w:fill="FFFFFF"/>
        </w:rPr>
        <w:t>企业要加强燃气安全巡检，消除安全隐患，对危及燃气设施安全的案情应及时制止，并报告有关部门，同时应进行宣传、解释、劝阻和书面告知违反规定的单位或个人进行整改。对逾期不改的，书面向甲方或行政执法部门报告。</w:t>
      </w:r>
    </w:p>
    <w:p>
      <w:pPr>
        <w:autoSpaceDE w:val="0"/>
        <w:autoSpaceDN w:val="0"/>
        <w:adjustRightInd w:val="0"/>
        <w:jc w:val="left"/>
        <w:rPr>
          <w:color w:val="auto"/>
          <w:sz w:val="28"/>
          <w:szCs w:val="28"/>
          <w:highlight w:val="none"/>
          <w:shd w:val="clear" w:color="auto" w:fill="FFFFFF"/>
        </w:rPr>
      </w:pPr>
      <w:r>
        <w:rPr>
          <w:rFonts w:hint="eastAsia" w:cs="Times New Roman"/>
          <w:color w:val="auto"/>
          <w:kern w:val="0"/>
          <w:sz w:val="28"/>
          <w:szCs w:val="28"/>
          <w:highlight w:val="none"/>
          <w:shd w:val="clear" w:color="auto" w:fill="FFFFFF"/>
        </w:rPr>
        <w:t xml:space="preserve">    管道燃气</w:t>
      </w:r>
      <w:r>
        <w:rPr>
          <w:color w:val="auto"/>
          <w:sz w:val="28"/>
          <w:szCs w:val="28"/>
          <w:highlight w:val="none"/>
          <w:shd w:val="clear" w:color="auto" w:fill="FFFFFF"/>
        </w:rPr>
        <w:t>特许经营</w:t>
      </w:r>
      <w:r>
        <w:rPr>
          <w:rFonts w:hint="eastAsia"/>
          <w:color w:val="auto"/>
          <w:sz w:val="28"/>
          <w:szCs w:val="28"/>
          <w:highlight w:val="none"/>
          <w:shd w:val="clear" w:color="auto" w:fill="FFFFFF"/>
        </w:rPr>
        <w:t>企业应严格执行《城镇燃气设施运行、维护和抢修安全技术规程》的规定，严格运行、维护和抢修安全技术程序，对管道燃气设施和用户设施的运行状况及性能进行定期的巡检。必要时（发生自然灾害、重大安全事故等），应对地下燃气管网进行安全质量评估，并将设施运行状况定期报告政府相关部门。</w:t>
      </w:r>
      <w:r>
        <w:rPr>
          <w:rFonts w:hint="eastAsia" w:cs="Times New Roman"/>
          <w:color w:val="auto"/>
          <w:kern w:val="0"/>
          <w:sz w:val="28"/>
          <w:szCs w:val="28"/>
          <w:highlight w:val="none"/>
          <w:shd w:val="clear" w:color="auto" w:fill="FFFFFF"/>
        </w:rPr>
        <w:t>管道燃气</w:t>
      </w:r>
      <w:r>
        <w:rPr>
          <w:color w:val="auto"/>
          <w:sz w:val="28"/>
          <w:szCs w:val="28"/>
          <w:highlight w:val="none"/>
          <w:shd w:val="clear" w:color="auto" w:fill="FFFFFF"/>
        </w:rPr>
        <w:t>特许经营</w:t>
      </w:r>
      <w:r>
        <w:rPr>
          <w:rFonts w:hint="eastAsia"/>
          <w:color w:val="auto"/>
          <w:sz w:val="28"/>
          <w:szCs w:val="28"/>
          <w:highlight w:val="none"/>
          <w:shd w:val="clear" w:color="auto" w:fill="FFFFFF"/>
        </w:rPr>
        <w:t>企业应在与用户签订的供用气合同中明确双方的安全责任。</w:t>
      </w:r>
      <w:r>
        <w:rPr>
          <w:color w:val="auto"/>
          <w:sz w:val="28"/>
          <w:szCs w:val="28"/>
          <w:highlight w:val="none"/>
          <w:shd w:val="clear" w:color="auto" w:fill="FFFFFF"/>
        </w:rPr>
        <w:br w:type="textWrapping"/>
      </w:r>
      <w:r>
        <w:rPr>
          <w:rStyle w:val="32"/>
          <w:rFonts w:hint="eastAsia"/>
          <w:color w:val="auto"/>
          <w:highlight w:val="none"/>
        </w:rPr>
        <w:t>五.应急抢修抢险</w:t>
      </w:r>
    </w:p>
    <w:p>
      <w:pPr>
        <w:autoSpaceDE w:val="0"/>
        <w:autoSpaceDN w:val="0"/>
        <w:adjustRightInd w:val="0"/>
        <w:jc w:val="left"/>
        <w:rPr>
          <w:color w:val="auto"/>
          <w:sz w:val="28"/>
          <w:szCs w:val="28"/>
          <w:highlight w:val="none"/>
          <w:shd w:val="clear" w:color="auto" w:fill="FFFFFF"/>
        </w:rPr>
      </w:pPr>
      <w:r>
        <w:rPr>
          <w:rFonts w:hint="eastAsia" w:cs="Times New Roman"/>
          <w:color w:val="auto"/>
          <w:kern w:val="0"/>
          <w:sz w:val="28"/>
          <w:szCs w:val="28"/>
          <w:highlight w:val="none"/>
          <w:shd w:val="clear" w:color="auto" w:fill="FFFFFF"/>
        </w:rPr>
        <w:t xml:space="preserve">    管道燃气</w:t>
      </w:r>
      <w:r>
        <w:rPr>
          <w:color w:val="auto"/>
          <w:sz w:val="28"/>
          <w:szCs w:val="28"/>
          <w:highlight w:val="none"/>
          <w:shd w:val="clear" w:color="auto" w:fill="FFFFFF"/>
        </w:rPr>
        <w:t>特许经营</w:t>
      </w:r>
      <w:r>
        <w:rPr>
          <w:rFonts w:hint="eastAsia"/>
          <w:color w:val="auto"/>
          <w:sz w:val="28"/>
          <w:szCs w:val="28"/>
          <w:highlight w:val="none"/>
          <w:shd w:val="clear" w:color="auto" w:fill="FFFFFF"/>
        </w:rPr>
        <w:t>企业要建立应急抢修抢险救灾预案和相应的组织、指挥、设备、物资等保障体系并保证在出现事关燃气应急事故时，保障体系能够正常启动。要建立管道燃气设施应急抢修队伍，提供</w:t>
      </w:r>
      <w:r>
        <w:rPr>
          <w:color w:val="auto"/>
          <w:sz w:val="28"/>
          <w:szCs w:val="28"/>
          <w:highlight w:val="none"/>
          <w:shd w:val="clear" w:color="auto" w:fill="FFFFFF"/>
        </w:rPr>
        <w:t>24</w:t>
      </w:r>
      <w:r>
        <w:rPr>
          <w:rFonts w:hint="eastAsia"/>
          <w:color w:val="auto"/>
          <w:sz w:val="28"/>
          <w:szCs w:val="28"/>
          <w:highlight w:val="none"/>
          <w:shd w:val="clear" w:color="auto" w:fill="FFFFFF"/>
        </w:rPr>
        <w:t>小时紧急热线服务。</w:t>
      </w:r>
      <w:r>
        <w:rPr>
          <w:color w:val="auto"/>
          <w:sz w:val="28"/>
          <w:szCs w:val="28"/>
          <w:highlight w:val="none"/>
          <w:shd w:val="clear" w:color="auto" w:fill="FFFFFF"/>
        </w:rPr>
        <w:br w:type="textWrapping"/>
      </w:r>
      <w:r>
        <w:rPr>
          <w:rStyle w:val="32"/>
          <w:rFonts w:hint="eastAsia"/>
          <w:color w:val="auto"/>
          <w:highlight w:val="none"/>
        </w:rPr>
        <w:t>六.燃气安全用气宣传</w:t>
      </w:r>
      <w:r>
        <w:rPr>
          <w:color w:val="auto"/>
          <w:sz w:val="28"/>
          <w:szCs w:val="28"/>
          <w:highlight w:val="none"/>
          <w:shd w:val="clear" w:color="auto" w:fill="FFFFFF"/>
        </w:rPr>
        <w:br w:type="textWrapping"/>
      </w:r>
      <w:r>
        <w:rPr>
          <w:rFonts w:hint="eastAsia"/>
          <w:color w:val="auto"/>
          <w:sz w:val="28"/>
          <w:szCs w:val="28"/>
          <w:highlight w:val="none"/>
          <w:shd w:val="clear" w:color="auto" w:fill="FFFFFF"/>
        </w:rPr>
        <w:t>　　</w:t>
      </w:r>
      <w:r>
        <w:rPr>
          <w:rFonts w:hint="eastAsia" w:cs="Times New Roman"/>
          <w:color w:val="auto"/>
          <w:kern w:val="0"/>
          <w:sz w:val="28"/>
          <w:szCs w:val="28"/>
          <w:highlight w:val="none"/>
          <w:shd w:val="clear" w:color="auto" w:fill="FFFFFF"/>
        </w:rPr>
        <w:t>管道燃气</w:t>
      </w:r>
      <w:r>
        <w:rPr>
          <w:color w:val="auto"/>
          <w:sz w:val="28"/>
          <w:szCs w:val="28"/>
          <w:highlight w:val="none"/>
          <w:shd w:val="clear" w:color="auto" w:fill="FFFFFF"/>
        </w:rPr>
        <w:t>特许经营</w:t>
      </w:r>
      <w:r>
        <w:rPr>
          <w:rFonts w:hint="eastAsia"/>
          <w:color w:val="auto"/>
          <w:sz w:val="28"/>
          <w:szCs w:val="28"/>
          <w:highlight w:val="none"/>
          <w:shd w:val="clear" w:color="auto" w:fill="FFFFFF"/>
        </w:rPr>
        <w:t>企业应根据《城镇燃气设施运行、维护和抢修安全技术规程》的标准，向管道燃气用户提供各种形式安全检查、宣传的服务，解答用户的燃气安全咨询，提高公众对管道燃气设施的保护意识。</w:t>
      </w:r>
    </w:p>
    <w:p>
      <w:pPr>
        <w:autoSpaceDE w:val="0"/>
        <w:autoSpaceDN w:val="0"/>
        <w:adjustRightInd w:val="0"/>
        <w:jc w:val="left"/>
        <w:rPr>
          <w:color w:val="auto"/>
          <w:sz w:val="28"/>
          <w:szCs w:val="28"/>
          <w:highlight w:val="none"/>
          <w:shd w:val="clear" w:color="auto" w:fill="FFFFFF"/>
        </w:rPr>
      </w:pPr>
      <w:r>
        <w:rPr>
          <w:rFonts w:hint="eastAsia" w:cs="Times New Roman"/>
          <w:color w:val="auto"/>
          <w:kern w:val="0"/>
          <w:sz w:val="28"/>
          <w:szCs w:val="28"/>
          <w:highlight w:val="none"/>
          <w:shd w:val="clear" w:color="auto" w:fill="FFFFFF"/>
          <w:lang w:val="en-US" w:eastAsia="zh-CN"/>
        </w:rPr>
        <w:t xml:space="preserve">    </w:t>
      </w:r>
      <w:r>
        <w:rPr>
          <w:rFonts w:hint="eastAsia" w:cs="Times New Roman"/>
          <w:color w:val="auto"/>
          <w:kern w:val="0"/>
          <w:sz w:val="28"/>
          <w:szCs w:val="28"/>
          <w:highlight w:val="none"/>
          <w:shd w:val="clear" w:color="auto" w:fill="FFFFFF"/>
        </w:rPr>
        <w:t>管道燃气</w:t>
      </w:r>
      <w:r>
        <w:rPr>
          <w:color w:val="auto"/>
          <w:sz w:val="28"/>
          <w:szCs w:val="28"/>
          <w:highlight w:val="none"/>
          <w:shd w:val="clear" w:color="auto" w:fill="FFFFFF"/>
        </w:rPr>
        <w:t>特许经营</w:t>
      </w:r>
      <w:r>
        <w:rPr>
          <w:rFonts w:hint="eastAsia"/>
          <w:color w:val="auto"/>
          <w:sz w:val="28"/>
          <w:szCs w:val="28"/>
          <w:highlight w:val="none"/>
          <w:shd w:val="clear" w:color="auto" w:fill="FFFFFF"/>
        </w:rPr>
        <w:t>企业在进行管道燃气设施维护或改造工程时，如果是影响用户用气的工程，应当在开展工程作业前48小时告知用户，并通过新闻媒体向用户和社会公众预告工程简况、施工历时、可能受影响的程度及区域等相关情况。</w:t>
      </w:r>
      <w:r>
        <w:rPr>
          <w:color w:val="auto"/>
          <w:sz w:val="28"/>
          <w:szCs w:val="28"/>
          <w:highlight w:val="none"/>
          <w:shd w:val="clear" w:color="auto" w:fill="FFFFFF"/>
        </w:rPr>
        <w:br w:type="textWrapping"/>
      </w:r>
      <w:r>
        <w:rPr>
          <w:rFonts w:hint="eastAsia"/>
          <w:color w:val="auto"/>
          <w:sz w:val="28"/>
          <w:szCs w:val="28"/>
          <w:highlight w:val="none"/>
          <w:shd w:val="clear" w:color="auto" w:fill="FFFFFF"/>
        </w:rPr>
        <w:t>　</w:t>
      </w:r>
      <w:r>
        <w:rPr>
          <w:rFonts w:hint="eastAsia"/>
          <w:color w:val="auto"/>
          <w:sz w:val="28"/>
          <w:szCs w:val="28"/>
          <w:highlight w:val="none"/>
          <w:shd w:val="clear" w:color="auto" w:fill="FFFFFF"/>
          <w:lang w:val="en-US" w:eastAsia="zh-CN"/>
        </w:rPr>
        <w:t xml:space="preserve">  </w:t>
      </w:r>
      <w:r>
        <w:rPr>
          <w:rFonts w:hint="eastAsia" w:cs="Times New Roman"/>
          <w:color w:val="auto"/>
          <w:kern w:val="0"/>
          <w:sz w:val="28"/>
          <w:szCs w:val="28"/>
          <w:highlight w:val="none"/>
          <w:shd w:val="clear" w:color="auto" w:fill="FFFFFF"/>
        </w:rPr>
        <w:t>管道燃气</w:t>
      </w:r>
      <w:r>
        <w:rPr>
          <w:color w:val="auto"/>
          <w:sz w:val="28"/>
          <w:szCs w:val="28"/>
          <w:highlight w:val="none"/>
          <w:shd w:val="clear" w:color="auto" w:fill="FFFFFF"/>
        </w:rPr>
        <w:t>特许经营</w:t>
      </w:r>
      <w:r>
        <w:rPr>
          <w:rFonts w:hint="eastAsia"/>
          <w:color w:val="auto"/>
          <w:sz w:val="28"/>
          <w:szCs w:val="28"/>
          <w:highlight w:val="none"/>
          <w:shd w:val="clear" w:color="auto" w:fill="FFFFFF"/>
        </w:rPr>
        <w:t>企业处理燃气紧急事件影响或可能影响范围较大的用户正常使用燃气时，应在处理的同时报告政府相关部门，并应以适当的方式告知受到或可能受到影响的用户。</w:t>
      </w:r>
    </w:p>
    <w:p>
      <w:pPr>
        <w:pStyle w:val="3"/>
        <w:rPr>
          <w:color w:val="auto"/>
          <w:kern w:val="0"/>
          <w:highlight w:val="none"/>
          <w:shd w:val="clear" w:color="auto" w:fill="FFFFFF"/>
        </w:rPr>
      </w:pPr>
      <w:bookmarkStart w:id="53" w:name="_Toc15014"/>
      <w:bookmarkStart w:id="54" w:name="_Toc3138"/>
      <w:bookmarkStart w:id="55" w:name="_Toc21633"/>
      <w:r>
        <w:rPr>
          <w:rFonts w:hint="eastAsia"/>
          <w:color w:val="auto"/>
          <w:highlight w:val="none"/>
        </w:rPr>
        <w:t>七.产品与服务价格</w:t>
      </w:r>
      <w:bookmarkEnd w:id="53"/>
      <w:bookmarkEnd w:id="54"/>
      <w:bookmarkEnd w:id="55"/>
    </w:p>
    <w:p>
      <w:pPr>
        <w:autoSpaceDE w:val="0"/>
        <w:autoSpaceDN w:val="0"/>
        <w:adjustRightInd w:val="0"/>
        <w:jc w:val="left"/>
        <w:rPr>
          <w:color w:val="auto"/>
          <w:sz w:val="28"/>
          <w:szCs w:val="28"/>
          <w:highlight w:val="none"/>
          <w:shd w:val="clear" w:color="auto" w:fill="FFFFFF"/>
        </w:rPr>
      </w:pPr>
      <w:r>
        <w:rPr>
          <w:rFonts w:hint="eastAsia"/>
          <w:color w:val="auto"/>
          <w:sz w:val="28"/>
          <w:szCs w:val="28"/>
          <w:highlight w:val="none"/>
          <w:shd w:val="clear" w:color="auto" w:fill="FFFFFF"/>
        </w:rPr>
        <w:t xml:space="preserve">    1.管道燃气销售价格执行当地政府物价主管部门批准的销售价格向其服务范围内的用户收取费用。其它有偿服务价格标准亦须经当地政府物价主管部门批准。</w:t>
      </w:r>
    </w:p>
    <w:p>
      <w:pPr>
        <w:autoSpaceDE w:val="0"/>
        <w:autoSpaceDN w:val="0"/>
        <w:adjustRightInd w:val="0"/>
        <w:jc w:val="left"/>
        <w:rPr>
          <w:color w:val="auto"/>
          <w:sz w:val="28"/>
          <w:szCs w:val="28"/>
          <w:highlight w:val="none"/>
          <w:shd w:val="clear" w:color="auto" w:fill="FFFFFF"/>
        </w:rPr>
      </w:pPr>
      <w:r>
        <w:rPr>
          <w:rFonts w:hint="eastAsia"/>
          <w:color w:val="auto"/>
          <w:sz w:val="28"/>
          <w:szCs w:val="28"/>
          <w:highlight w:val="none"/>
          <w:shd w:val="clear" w:color="auto" w:fill="FFFFFF"/>
        </w:rPr>
        <w:t xml:space="preserve">    2.因非</w:t>
      </w:r>
      <w:r>
        <w:rPr>
          <w:rFonts w:hint="eastAsia" w:cs="Times New Roman"/>
          <w:color w:val="auto"/>
          <w:kern w:val="0"/>
          <w:sz w:val="28"/>
          <w:szCs w:val="28"/>
          <w:highlight w:val="none"/>
          <w:shd w:val="clear" w:color="auto" w:fill="FFFFFF"/>
        </w:rPr>
        <w:t>管道燃气</w:t>
      </w:r>
      <w:r>
        <w:rPr>
          <w:color w:val="auto"/>
          <w:sz w:val="28"/>
          <w:szCs w:val="28"/>
          <w:highlight w:val="none"/>
          <w:shd w:val="clear" w:color="auto" w:fill="FFFFFF"/>
        </w:rPr>
        <w:t>特许经营</w:t>
      </w:r>
      <w:r>
        <w:rPr>
          <w:rFonts w:hint="eastAsia"/>
          <w:color w:val="auto"/>
          <w:sz w:val="28"/>
          <w:szCs w:val="28"/>
          <w:highlight w:val="none"/>
          <w:shd w:val="clear" w:color="auto" w:fill="FFFFFF"/>
        </w:rPr>
        <w:t>企业原因造成的经营成本发生重大变动时，企业可提出城市管道燃气收费标准调整申请。建立燃气销售价格与上游供应价格实行联动机制，在特许经营期间，如遇上游燃气供应价格调整，</w:t>
      </w:r>
      <w:r>
        <w:rPr>
          <w:rFonts w:hint="eastAsia" w:cs="Times New Roman"/>
          <w:color w:val="auto"/>
          <w:kern w:val="0"/>
          <w:sz w:val="28"/>
          <w:szCs w:val="28"/>
          <w:highlight w:val="none"/>
          <w:shd w:val="clear" w:color="auto" w:fill="FFFFFF"/>
        </w:rPr>
        <w:t>管道燃气</w:t>
      </w:r>
      <w:r>
        <w:rPr>
          <w:color w:val="auto"/>
          <w:sz w:val="28"/>
          <w:szCs w:val="28"/>
          <w:highlight w:val="none"/>
          <w:shd w:val="clear" w:color="auto" w:fill="FFFFFF"/>
        </w:rPr>
        <w:t>特许经营</w:t>
      </w:r>
      <w:r>
        <w:rPr>
          <w:rFonts w:hint="eastAsia"/>
          <w:color w:val="auto"/>
          <w:sz w:val="28"/>
          <w:szCs w:val="28"/>
          <w:highlight w:val="none"/>
          <w:shd w:val="clear" w:color="auto" w:fill="FFFFFF"/>
        </w:rPr>
        <w:t>企业可自行对非居民用户的燃气售价作相应幅度的调整，并向物价部门报备。居民用户燃气价格的调整需按照国家相关规定履行必要程序后方可执行。</w:t>
      </w:r>
    </w:p>
    <w:p>
      <w:pPr>
        <w:pStyle w:val="3"/>
        <w:rPr>
          <w:color w:val="auto"/>
          <w:highlight w:val="none"/>
        </w:rPr>
      </w:pPr>
      <w:bookmarkStart w:id="56" w:name="_Toc14"/>
      <w:bookmarkStart w:id="57" w:name="_Toc4563"/>
      <w:bookmarkStart w:id="58" w:name="_Toc17739"/>
      <w:r>
        <w:rPr>
          <w:rFonts w:hint="eastAsia"/>
          <w:color w:val="auto"/>
          <w:highlight w:val="none"/>
        </w:rPr>
        <w:t>八.土地使用权</w:t>
      </w:r>
      <w:bookmarkEnd w:id="56"/>
      <w:bookmarkEnd w:id="57"/>
      <w:bookmarkEnd w:id="58"/>
    </w:p>
    <w:p>
      <w:pPr>
        <w:spacing w:line="360" w:lineRule="auto"/>
        <w:ind w:firstLine="560" w:firstLineChars="200"/>
        <w:rPr>
          <w:color w:val="auto"/>
          <w:sz w:val="28"/>
          <w:szCs w:val="28"/>
          <w:highlight w:val="none"/>
          <w:shd w:val="clear" w:color="auto" w:fill="FFFFFF"/>
        </w:rPr>
      </w:pPr>
      <w:bookmarkStart w:id="59" w:name="_Toc6796"/>
      <w:bookmarkStart w:id="60" w:name="_Toc303171536"/>
      <w:r>
        <w:rPr>
          <w:rFonts w:hint="eastAsia" w:cs="Times New Roman"/>
          <w:color w:val="auto"/>
          <w:kern w:val="0"/>
          <w:sz w:val="28"/>
          <w:szCs w:val="28"/>
          <w:highlight w:val="none"/>
          <w:shd w:val="clear" w:color="auto" w:fill="FFFFFF"/>
        </w:rPr>
        <w:t>管道燃气</w:t>
      </w:r>
      <w:r>
        <w:rPr>
          <w:color w:val="auto"/>
          <w:sz w:val="28"/>
          <w:szCs w:val="28"/>
          <w:highlight w:val="none"/>
          <w:shd w:val="clear" w:color="auto" w:fill="FFFFFF"/>
        </w:rPr>
        <w:t>特许经营</w:t>
      </w:r>
      <w:r>
        <w:rPr>
          <w:rFonts w:hint="eastAsia"/>
          <w:color w:val="auto"/>
          <w:sz w:val="28"/>
          <w:szCs w:val="28"/>
          <w:highlight w:val="none"/>
          <w:shd w:val="clear" w:color="auto" w:fill="FFFFFF"/>
        </w:rPr>
        <w:t>企业在特许经营区域内投资建设的燃气设施，所占土地为公用事业用地，按照城市基础设施用地交纳有关税费。</w:t>
      </w:r>
    </w:p>
    <w:p>
      <w:pPr>
        <w:pStyle w:val="3"/>
        <w:rPr>
          <w:color w:val="auto"/>
          <w:highlight w:val="none"/>
        </w:rPr>
      </w:pPr>
      <w:bookmarkStart w:id="61" w:name="_Toc24686"/>
      <w:bookmarkStart w:id="62" w:name="_Toc27989"/>
      <w:r>
        <w:rPr>
          <w:rFonts w:hint="eastAsia"/>
          <w:color w:val="auto"/>
          <w:highlight w:val="none"/>
        </w:rPr>
        <w:t>九.燃气设施建设与改造</w:t>
      </w:r>
      <w:bookmarkEnd w:id="59"/>
      <w:bookmarkEnd w:id="60"/>
      <w:bookmarkEnd w:id="61"/>
      <w:bookmarkEnd w:id="62"/>
    </w:p>
    <w:p>
      <w:pPr>
        <w:spacing w:line="360" w:lineRule="auto"/>
        <w:ind w:firstLine="560" w:firstLineChars="200"/>
        <w:rPr>
          <w:rFonts w:cs="Times New Roman"/>
          <w:color w:val="auto"/>
          <w:kern w:val="0"/>
          <w:sz w:val="28"/>
          <w:szCs w:val="28"/>
          <w:highlight w:val="none"/>
          <w:shd w:val="clear" w:color="auto" w:fill="FFFFFF"/>
        </w:rPr>
      </w:pPr>
      <w:r>
        <w:rPr>
          <w:rFonts w:hint="eastAsia"/>
          <w:color w:val="auto"/>
          <w:sz w:val="28"/>
          <w:szCs w:val="28"/>
          <w:highlight w:val="none"/>
          <w:shd w:val="clear" w:color="auto" w:fill="FFFFFF"/>
        </w:rPr>
        <w:t>在本协议规定的区域范围内，</w:t>
      </w:r>
      <w:r>
        <w:rPr>
          <w:rFonts w:hint="eastAsia" w:cs="Times New Roman"/>
          <w:color w:val="auto"/>
          <w:kern w:val="0"/>
          <w:sz w:val="28"/>
          <w:szCs w:val="28"/>
          <w:highlight w:val="none"/>
          <w:shd w:val="clear" w:color="auto" w:fill="FFFFFF"/>
        </w:rPr>
        <w:t>管道燃气</w:t>
      </w:r>
      <w:r>
        <w:rPr>
          <w:color w:val="auto"/>
          <w:sz w:val="28"/>
          <w:szCs w:val="28"/>
          <w:highlight w:val="none"/>
          <w:shd w:val="clear" w:color="auto" w:fill="FFFFFF"/>
        </w:rPr>
        <w:t>特许经营</w:t>
      </w:r>
      <w:r>
        <w:rPr>
          <w:rFonts w:hint="eastAsia"/>
          <w:color w:val="auto"/>
          <w:sz w:val="28"/>
          <w:szCs w:val="28"/>
          <w:highlight w:val="none"/>
          <w:shd w:val="clear" w:color="auto" w:fill="FFFFFF"/>
        </w:rPr>
        <w:t>企业应根据城市规划和燃气专业规划的要求，</w:t>
      </w:r>
      <w:r>
        <w:rPr>
          <w:rFonts w:hint="eastAsia" w:asciiTheme="minorEastAsia" w:hAnsiTheme="minorEastAsia"/>
          <w:color w:val="auto"/>
          <w:sz w:val="28"/>
          <w:szCs w:val="28"/>
          <w:highlight w:val="none"/>
        </w:rPr>
        <w:t>严格按照项目规范建设程序</w:t>
      </w:r>
      <w:r>
        <w:rPr>
          <w:rFonts w:hint="eastAsia"/>
          <w:color w:val="auto"/>
          <w:sz w:val="28"/>
          <w:szCs w:val="28"/>
          <w:highlight w:val="none"/>
          <w:shd w:val="clear" w:color="auto" w:fill="FFFFFF"/>
        </w:rPr>
        <w:t>承担市政燃气管道和设施的投资建设。应按照国家标准和地方标准以及相关规定，负责燃气设施运行、维修及更新。因公共利益需要，依法征用燃气设施，</w:t>
      </w:r>
      <w:r>
        <w:rPr>
          <w:rFonts w:hint="eastAsia" w:cs="Times New Roman"/>
          <w:color w:val="auto"/>
          <w:kern w:val="0"/>
          <w:sz w:val="28"/>
          <w:szCs w:val="28"/>
          <w:highlight w:val="none"/>
          <w:shd w:val="clear" w:color="auto" w:fill="FFFFFF"/>
        </w:rPr>
        <w:t>管道燃气</w:t>
      </w:r>
      <w:r>
        <w:rPr>
          <w:color w:val="auto"/>
          <w:sz w:val="28"/>
          <w:szCs w:val="28"/>
          <w:highlight w:val="none"/>
          <w:shd w:val="clear" w:color="auto" w:fill="FFFFFF"/>
        </w:rPr>
        <w:t>特许经营</w:t>
      </w:r>
      <w:r>
        <w:rPr>
          <w:rFonts w:hint="eastAsia"/>
          <w:color w:val="auto"/>
          <w:sz w:val="28"/>
          <w:szCs w:val="28"/>
          <w:highlight w:val="none"/>
          <w:shd w:val="clear" w:color="auto" w:fill="FFFFFF"/>
        </w:rPr>
        <w:t>企业应予配合，应获得合理补偿。</w:t>
      </w:r>
    </w:p>
    <w:p>
      <w:pPr>
        <w:pStyle w:val="3"/>
        <w:rPr>
          <w:color w:val="auto"/>
          <w:highlight w:val="none"/>
        </w:rPr>
      </w:pPr>
      <w:bookmarkStart w:id="63" w:name="_Toc26751"/>
      <w:bookmarkStart w:id="64" w:name="_Toc30228"/>
      <w:bookmarkStart w:id="65" w:name="_Toc15780"/>
      <w:r>
        <w:rPr>
          <w:rFonts w:hint="eastAsia"/>
          <w:color w:val="auto"/>
          <w:highlight w:val="none"/>
        </w:rPr>
        <w:t>十.特许经营权费用</w:t>
      </w:r>
      <w:bookmarkEnd w:id="63"/>
      <w:bookmarkEnd w:id="64"/>
      <w:bookmarkEnd w:id="65"/>
    </w:p>
    <w:p>
      <w:pPr>
        <w:spacing w:beforeLines="0" w:afterLines="0" w:line="360" w:lineRule="auto"/>
        <w:ind w:firstLine="560" w:firstLineChars="200"/>
        <w:rPr>
          <w:rFonts w:hint="eastAsia"/>
          <w:color w:val="auto"/>
          <w:sz w:val="28"/>
          <w:szCs w:val="28"/>
          <w:highlight w:val="none"/>
          <w:shd w:val="clear" w:color="auto" w:fill="FFFFFF"/>
        </w:rPr>
      </w:pPr>
      <w:r>
        <w:rPr>
          <w:rFonts w:hint="eastAsia" w:cs="Times New Roman"/>
          <w:color w:val="auto"/>
          <w:kern w:val="0"/>
          <w:sz w:val="28"/>
          <w:szCs w:val="28"/>
          <w:highlight w:val="none"/>
          <w:shd w:val="clear" w:color="auto" w:fill="FFFFFF"/>
        </w:rPr>
        <w:t>本项目不直接收取特许经营权费用，</w:t>
      </w:r>
      <w:r>
        <w:rPr>
          <w:rFonts w:hint="eastAsia"/>
          <w:color w:val="auto"/>
          <w:sz w:val="28"/>
          <w:szCs w:val="28"/>
          <w:highlight w:val="none"/>
          <w:shd w:val="clear" w:color="auto" w:fill="FFFFFF"/>
        </w:rPr>
        <w:t>在特许经营</w:t>
      </w:r>
      <w:r>
        <w:rPr>
          <w:rFonts w:hint="eastAsia"/>
          <w:color w:val="auto"/>
          <w:sz w:val="28"/>
          <w:szCs w:val="28"/>
          <w:highlight w:val="none"/>
          <w:shd w:val="clear" w:color="auto" w:fill="FFFFFF"/>
          <w:lang w:val="en-US" w:eastAsia="zh-CN"/>
        </w:rPr>
        <w:t>者</w:t>
      </w:r>
      <w:r>
        <w:rPr>
          <w:rFonts w:hint="eastAsia"/>
          <w:color w:val="auto"/>
          <w:sz w:val="28"/>
          <w:szCs w:val="28"/>
          <w:highlight w:val="none"/>
          <w:shd w:val="clear" w:color="auto" w:fill="FFFFFF"/>
        </w:rPr>
        <w:t>对项目公司出资到位后，项目公司应向政府</w:t>
      </w:r>
      <w:r>
        <w:rPr>
          <w:rFonts w:hint="eastAsia"/>
          <w:color w:val="auto"/>
          <w:sz w:val="28"/>
          <w:szCs w:val="28"/>
          <w:highlight w:val="none"/>
          <w:shd w:val="clear" w:color="auto" w:fill="FFFFFF"/>
          <w:lang w:val="en-US" w:eastAsia="zh-CN"/>
        </w:rPr>
        <w:t>或其</w:t>
      </w:r>
      <w:r>
        <w:rPr>
          <w:rFonts w:hint="eastAsia"/>
          <w:color w:val="auto"/>
          <w:sz w:val="28"/>
          <w:szCs w:val="28"/>
          <w:highlight w:val="none"/>
          <w:shd w:val="clear" w:color="auto" w:fill="FFFFFF"/>
        </w:rPr>
        <w:t>指定</w:t>
      </w:r>
      <w:r>
        <w:rPr>
          <w:rFonts w:hint="eastAsia"/>
          <w:color w:val="auto"/>
          <w:sz w:val="28"/>
          <w:szCs w:val="28"/>
          <w:highlight w:val="none"/>
          <w:shd w:val="clear" w:color="auto" w:fill="FFFFFF"/>
          <w:lang w:val="en-US" w:eastAsia="zh-CN"/>
        </w:rPr>
        <w:t>的单位</w:t>
      </w:r>
      <w:r>
        <w:rPr>
          <w:rFonts w:hint="eastAsia"/>
          <w:color w:val="auto"/>
          <w:sz w:val="28"/>
          <w:szCs w:val="28"/>
          <w:highlight w:val="none"/>
          <w:shd w:val="clear" w:color="auto" w:fill="FFFFFF"/>
        </w:rPr>
        <w:t>支付注册资本金的10%作为特许经营权</w:t>
      </w:r>
      <w:r>
        <w:rPr>
          <w:rFonts w:hint="eastAsia"/>
          <w:color w:val="auto"/>
          <w:sz w:val="28"/>
          <w:szCs w:val="28"/>
          <w:highlight w:val="none"/>
          <w:shd w:val="clear" w:color="auto" w:fill="FFFFFF"/>
          <w:lang w:val="en-US" w:eastAsia="zh-CN"/>
        </w:rPr>
        <w:t>的</w:t>
      </w:r>
      <w:r>
        <w:rPr>
          <w:rFonts w:hint="eastAsia"/>
          <w:color w:val="auto"/>
          <w:sz w:val="28"/>
          <w:szCs w:val="28"/>
          <w:highlight w:val="none"/>
          <w:shd w:val="clear" w:color="auto" w:fill="FFFFFF"/>
        </w:rPr>
        <w:t>对价。</w:t>
      </w:r>
    </w:p>
    <w:p>
      <w:pPr>
        <w:autoSpaceDE w:val="0"/>
        <w:autoSpaceDN w:val="0"/>
        <w:adjustRightInd w:val="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w:t>
      </w:r>
    </w:p>
    <w:p>
      <w:pPr>
        <w:autoSpaceDE w:val="0"/>
        <w:autoSpaceDN w:val="0"/>
        <w:adjustRightInd w:val="0"/>
        <w:jc w:val="left"/>
        <w:rPr>
          <w:rFonts w:cs="Times New Roman"/>
          <w:color w:val="auto"/>
          <w:kern w:val="0"/>
          <w:sz w:val="28"/>
          <w:szCs w:val="28"/>
          <w:highlight w:val="none"/>
          <w:shd w:val="clear" w:color="auto" w:fill="FFFFFF"/>
        </w:rPr>
      </w:pPr>
    </w:p>
    <w:p>
      <w:pPr>
        <w:autoSpaceDE w:val="0"/>
        <w:autoSpaceDN w:val="0"/>
        <w:adjustRightInd w:val="0"/>
        <w:jc w:val="left"/>
        <w:rPr>
          <w:rFonts w:cs="Times New Roman"/>
          <w:color w:val="auto"/>
          <w:kern w:val="0"/>
          <w:sz w:val="28"/>
          <w:szCs w:val="28"/>
          <w:highlight w:val="none"/>
          <w:shd w:val="clear" w:color="auto" w:fill="FFFFFF"/>
        </w:rPr>
      </w:pPr>
    </w:p>
    <w:p>
      <w:pPr>
        <w:autoSpaceDE w:val="0"/>
        <w:autoSpaceDN w:val="0"/>
        <w:adjustRightInd w:val="0"/>
        <w:jc w:val="left"/>
        <w:rPr>
          <w:rFonts w:cs="Times New Roman"/>
          <w:color w:val="auto"/>
          <w:kern w:val="0"/>
          <w:sz w:val="28"/>
          <w:szCs w:val="28"/>
          <w:highlight w:val="none"/>
          <w:shd w:val="clear" w:color="auto" w:fill="FFFFFF"/>
        </w:rPr>
      </w:pPr>
    </w:p>
    <w:p>
      <w:pPr>
        <w:autoSpaceDE w:val="0"/>
        <w:autoSpaceDN w:val="0"/>
        <w:adjustRightInd w:val="0"/>
        <w:jc w:val="left"/>
        <w:rPr>
          <w:rFonts w:cs="Times New Roman"/>
          <w:color w:val="auto"/>
          <w:kern w:val="0"/>
          <w:sz w:val="28"/>
          <w:szCs w:val="28"/>
          <w:highlight w:val="none"/>
          <w:shd w:val="clear" w:color="auto" w:fill="FFFFFF"/>
        </w:rPr>
      </w:pPr>
    </w:p>
    <w:p>
      <w:pPr>
        <w:autoSpaceDE w:val="0"/>
        <w:autoSpaceDN w:val="0"/>
        <w:adjustRightInd w:val="0"/>
        <w:jc w:val="left"/>
        <w:rPr>
          <w:rFonts w:cs="Times New Roman"/>
          <w:color w:val="auto"/>
          <w:kern w:val="0"/>
          <w:sz w:val="28"/>
          <w:szCs w:val="28"/>
          <w:highlight w:val="none"/>
          <w:shd w:val="clear" w:color="auto" w:fill="FFFFFF"/>
        </w:rPr>
      </w:pPr>
    </w:p>
    <w:p>
      <w:pPr>
        <w:autoSpaceDE w:val="0"/>
        <w:autoSpaceDN w:val="0"/>
        <w:adjustRightInd w:val="0"/>
        <w:jc w:val="left"/>
        <w:rPr>
          <w:rFonts w:cs="Times New Roman"/>
          <w:color w:val="auto"/>
          <w:kern w:val="0"/>
          <w:sz w:val="28"/>
          <w:szCs w:val="28"/>
          <w:highlight w:val="none"/>
          <w:shd w:val="clear" w:color="auto" w:fill="FFFFFF"/>
        </w:rPr>
      </w:pPr>
    </w:p>
    <w:p>
      <w:pPr>
        <w:autoSpaceDE w:val="0"/>
        <w:autoSpaceDN w:val="0"/>
        <w:adjustRightInd w:val="0"/>
        <w:jc w:val="left"/>
        <w:rPr>
          <w:rFonts w:cs="Times New Roman"/>
          <w:color w:val="auto"/>
          <w:kern w:val="0"/>
          <w:sz w:val="28"/>
          <w:szCs w:val="28"/>
          <w:highlight w:val="none"/>
          <w:shd w:val="clear" w:color="auto" w:fill="FFFFFF"/>
        </w:rPr>
      </w:pPr>
    </w:p>
    <w:p>
      <w:pPr>
        <w:pStyle w:val="2"/>
        <w:rPr>
          <w:rFonts w:cs="Times New Roman"/>
          <w:color w:val="auto"/>
          <w:kern w:val="0"/>
          <w:sz w:val="28"/>
          <w:szCs w:val="28"/>
          <w:highlight w:val="none"/>
          <w:shd w:val="clear" w:color="auto" w:fill="FFFFFF"/>
        </w:rPr>
      </w:pPr>
      <w:bookmarkStart w:id="66" w:name="_Toc32596"/>
      <w:bookmarkStart w:id="67" w:name="_Toc24256"/>
      <w:bookmarkStart w:id="68" w:name="_Toc21093"/>
      <w:r>
        <w:rPr>
          <w:rFonts w:hint="eastAsia"/>
          <w:color w:val="auto"/>
          <w:highlight w:val="none"/>
        </w:rPr>
        <w:t>第</w:t>
      </w:r>
      <w:r>
        <w:rPr>
          <w:rFonts w:hint="eastAsia"/>
          <w:color w:val="auto"/>
          <w:highlight w:val="none"/>
          <w:lang w:eastAsia="zh-CN"/>
        </w:rPr>
        <w:t>四</w:t>
      </w:r>
      <w:r>
        <w:rPr>
          <w:rFonts w:hint="eastAsia"/>
          <w:color w:val="auto"/>
          <w:highlight w:val="none"/>
        </w:rPr>
        <w:t>章 项目投资回报、价格及其测算</w:t>
      </w:r>
      <w:bookmarkEnd w:id="66"/>
      <w:bookmarkEnd w:id="67"/>
      <w:bookmarkEnd w:id="68"/>
    </w:p>
    <w:p>
      <w:pPr>
        <w:pStyle w:val="3"/>
        <w:rPr>
          <w:color w:val="auto"/>
          <w:highlight w:val="none"/>
        </w:rPr>
      </w:pPr>
      <w:bookmarkStart w:id="69" w:name="_Toc171926590"/>
      <w:bookmarkStart w:id="70" w:name="_Toc188348494"/>
      <w:bookmarkStart w:id="71" w:name="_Toc13339"/>
      <w:bookmarkStart w:id="72" w:name="_Toc316909114"/>
      <w:bookmarkStart w:id="73" w:name="_Toc314757735"/>
      <w:bookmarkStart w:id="74" w:name="_Toc233605518"/>
      <w:bookmarkStart w:id="75" w:name="_Toc15214"/>
      <w:r>
        <w:rPr>
          <w:rFonts w:hint="eastAsia"/>
          <w:color w:val="auto"/>
          <w:highlight w:val="none"/>
        </w:rPr>
        <w:t>一．概述</w:t>
      </w:r>
      <w:bookmarkEnd w:id="69"/>
      <w:bookmarkEnd w:id="70"/>
      <w:bookmarkEnd w:id="71"/>
      <w:bookmarkEnd w:id="72"/>
      <w:bookmarkEnd w:id="73"/>
      <w:bookmarkEnd w:id="74"/>
      <w:bookmarkEnd w:id="75"/>
    </w:p>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本次测算以近期用气量3293.7万立方米为基准进行测算。</w:t>
      </w:r>
    </w:p>
    <w:p>
      <w:pPr>
        <w:pStyle w:val="4"/>
        <w:rPr>
          <w:rFonts w:asciiTheme="minorHAnsi" w:hAnsiTheme="minorHAnsi" w:eastAsiaTheme="minorEastAsia"/>
          <w:b w:val="0"/>
          <w:color w:val="auto"/>
          <w:sz w:val="28"/>
          <w:szCs w:val="28"/>
          <w:highlight w:val="none"/>
          <w:shd w:val="clear" w:color="auto" w:fill="FFFFFF"/>
        </w:rPr>
      </w:pPr>
      <w:bookmarkStart w:id="76" w:name="_Toc188348495"/>
      <w:bookmarkStart w:id="77" w:name="_Toc171926591"/>
      <w:bookmarkStart w:id="78" w:name="_Toc233605519"/>
      <w:bookmarkStart w:id="79" w:name="_Toc314757736"/>
      <w:bookmarkStart w:id="80" w:name="_Toc316909115"/>
      <w:bookmarkStart w:id="81" w:name="_Toc1702"/>
      <w:r>
        <w:rPr>
          <w:rFonts w:hint="eastAsia" w:asciiTheme="minorHAnsi" w:hAnsiTheme="minorHAnsi" w:eastAsiaTheme="minorEastAsia"/>
          <w:b w:val="0"/>
          <w:color w:val="auto"/>
          <w:sz w:val="28"/>
          <w:szCs w:val="28"/>
          <w:highlight w:val="none"/>
          <w:shd w:val="clear" w:color="auto" w:fill="FFFFFF"/>
        </w:rPr>
        <w:t>1.编制依据</w:t>
      </w:r>
      <w:bookmarkEnd w:id="76"/>
      <w:bookmarkEnd w:id="77"/>
      <w:bookmarkEnd w:id="78"/>
      <w:bookmarkEnd w:id="79"/>
      <w:bookmarkEnd w:id="80"/>
      <w:bookmarkEnd w:id="81"/>
    </w:p>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（1）国家计委、建设部2006年“建设项目经济评价方法与参数（第三版）；</w:t>
      </w:r>
    </w:p>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（2）《市政公用设施建设项目经济评价方法与参数》；</w:t>
      </w:r>
    </w:p>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（3）中国国际咨询公司出版的《投资项目经济咨询评价指南》；</w:t>
      </w:r>
    </w:p>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（4）确定的建设方案、投资估算和融资方案；</w:t>
      </w:r>
    </w:p>
    <w:p>
      <w:pPr>
        <w:pStyle w:val="4"/>
        <w:rPr>
          <w:rFonts w:asciiTheme="minorHAnsi" w:hAnsiTheme="minorHAnsi" w:eastAsiaTheme="minorEastAsia"/>
          <w:b w:val="0"/>
          <w:color w:val="auto"/>
          <w:sz w:val="28"/>
          <w:szCs w:val="28"/>
          <w:highlight w:val="none"/>
          <w:shd w:val="clear" w:color="auto" w:fill="FFFFFF"/>
        </w:rPr>
      </w:pPr>
      <w:bookmarkStart w:id="82" w:name="_Toc29859"/>
      <w:bookmarkStart w:id="83" w:name="_Toc316909116"/>
      <w:bookmarkStart w:id="84" w:name="_Toc233605520"/>
      <w:bookmarkStart w:id="85" w:name="_Toc188348496"/>
      <w:bookmarkStart w:id="86" w:name="_Toc171926592"/>
      <w:bookmarkStart w:id="87" w:name="_Toc314757737"/>
      <w:r>
        <w:rPr>
          <w:rFonts w:hint="eastAsia" w:asciiTheme="minorHAnsi" w:hAnsiTheme="minorHAnsi" w:eastAsiaTheme="minorEastAsia"/>
          <w:b w:val="0"/>
          <w:color w:val="auto"/>
          <w:sz w:val="28"/>
          <w:szCs w:val="28"/>
          <w:highlight w:val="none"/>
          <w:shd w:val="clear" w:color="auto" w:fill="FFFFFF"/>
        </w:rPr>
        <w:t>2.编制原则</w:t>
      </w:r>
      <w:bookmarkEnd w:id="82"/>
      <w:bookmarkEnd w:id="83"/>
      <w:bookmarkEnd w:id="84"/>
      <w:bookmarkEnd w:id="85"/>
      <w:bookmarkEnd w:id="86"/>
      <w:bookmarkEnd w:id="87"/>
    </w:p>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（1）对内容及深度应尽可能做出全面、详细、完整的评价；</w:t>
      </w:r>
    </w:p>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（2）在确定设计规模的基础上按照设计方法进行计算编制；</w:t>
      </w:r>
    </w:p>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（3）运用定量分析与定性分析，宏观效益与微观效益相结合的原则，对各种因素进行分析。</w:t>
      </w:r>
    </w:p>
    <w:p>
      <w:pPr>
        <w:pStyle w:val="4"/>
        <w:rPr>
          <w:rFonts w:asciiTheme="minorHAnsi" w:hAnsiTheme="minorHAnsi" w:eastAsiaTheme="minorEastAsia"/>
          <w:b w:val="0"/>
          <w:color w:val="auto"/>
          <w:sz w:val="28"/>
          <w:szCs w:val="28"/>
          <w:highlight w:val="none"/>
          <w:shd w:val="clear" w:color="auto" w:fill="FFFFFF"/>
        </w:rPr>
      </w:pPr>
      <w:bookmarkStart w:id="88" w:name="_Toc188348497"/>
      <w:bookmarkStart w:id="89" w:name="_Toc171926593"/>
      <w:bookmarkStart w:id="90" w:name="_Toc233605521"/>
      <w:bookmarkStart w:id="91" w:name="_Toc314757738"/>
      <w:bookmarkStart w:id="92" w:name="_Toc316909117"/>
      <w:bookmarkStart w:id="93" w:name="_Toc23107"/>
      <w:r>
        <w:rPr>
          <w:rFonts w:hint="eastAsia" w:asciiTheme="minorHAnsi" w:hAnsiTheme="minorHAnsi" w:eastAsiaTheme="minorEastAsia"/>
          <w:b w:val="0"/>
          <w:color w:val="auto"/>
          <w:sz w:val="28"/>
          <w:szCs w:val="28"/>
          <w:highlight w:val="none"/>
          <w:shd w:val="clear" w:color="auto" w:fill="FFFFFF"/>
        </w:rPr>
        <w:t>3. 基本假设条件</w:t>
      </w:r>
      <w:bookmarkEnd w:id="88"/>
      <w:bookmarkEnd w:id="89"/>
      <w:bookmarkEnd w:id="90"/>
      <w:bookmarkEnd w:id="91"/>
      <w:bookmarkEnd w:id="92"/>
      <w:bookmarkEnd w:id="93"/>
    </w:p>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在计算期内各年采用同一价格即现行价格进行计算。</w:t>
      </w:r>
    </w:p>
    <w:p>
      <w:pPr>
        <w:pStyle w:val="4"/>
        <w:rPr>
          <w:rFonts w:asciiTheme="minorHAnsi" w:hAnsiTheme="minorHAnsi" w:eastAsiaTheme="minorEastAsia"/>
          <w:b w:val="0"/>
          <w:color w:val="auto"/>
          <w:sz w:val="28"/>
          <w:szCs w:val="28"/>
          <w:highlight w:val="none"/>
          <w:shd w:val="clear" w:color="auto" w:fill="FFFFFF"/>
        </w:rPr>
      </w:pPr>
      <w:bookmarkStart w:id="94" w:name="_Toc188348498"/>
      <w:bookmarkStart w:id="95" w:name="_Toc171926594"/>
      <w:bookmarkStart w:id="96" w:name="_Toc233605522"/>
      <w:bookmarkStart w:id="97" w:name="_Toc314757739"/>
      <w:bookmarkStart w:id="98" w:name="_Toc316909118"/>
      <w:bookmarkStart w:id="99" w:name="_Toc14667"/>
      <w:r>
        <w:rPr>
          <w:rFonts w:hint="eastAsia" w:asciiTheme="minorHAnsi" w:hAnsiTheme="minorHAnsi" w:eastAsiaTheme="minorEastAsia"/>
          <w:b w:val="0"/>
          <w:color w:val="auto"/>
          <w:sz w:val="28"/>
          <w:szCs w:val="28"/>
          <w:highlight w:val="none"/>
          <w:shd w:val="clear" w:color="auto" w:fill="FFFFFF"/>
        </w:rPr>
        <w:t>4.基础数据与参数选取</w:t>
      </w:r>
      <w:bookmarkEnd w:id="94"/>
      <w:bookmarkEnd w:id="95"/>
      <w:bookmarkEnd w:id="96"/>
      <w:bookmarkEnd w:id="97"/>
      <w:bookmarkEnd w:id="98"/>
      <w:bookmarkEnd w:id="99"/>
    </w:p>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财务价格：在生产运营期内不考虑价格相对变动和通货膨胀影响的价格变动，即在整个生产运营期内都用预测的固定价格进行分析计算(含税价格)。</w:t>
      </w:r>
    </w:p>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税费：本项目涉及的税费有增值税、所得税、城市维护建设税和教育费附加。</w:t>
      </w:r>
    </w:p>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——增值税等于销项税额减进项税额,天然气税率为13%；水税率为6%；电税率为17%；</w:t>
      </w:r>
    </w:p>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——城市维护建设税和教育费附加以增值税为计税基数(本项目不计营业税和消费税),税率分别为7%和3%；</w:t>
      </w:r>
    </w:p>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——本项目所得税无优惠政策，税率按25%计取；</w:t>
      </w:r>
    </w:p>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计算期的选取：本项目计算期按21年计算（含建设期）；</w:t>
      </w:r>
    </w:p>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生产规模与实施进度：本项目建设期一年，3034年供气规模6798.3万立方米/年，2025年供气规模3293.7万立方米/年。本项目以2025年气量为评价基准，并以此气量作为财务评价基准。2025年之前气源为液化天然气，2025年之后为管道天然气。</w:t>
      </w:r>
    </w:p>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财务基准收益率：8%；</w:t>
      </w:r>
    </w:p>
    <w:p>
      <w:pPr>
        <w:pStyle w:val="3"/>
        <w:rPr>
          <w:color w:val="auto"/>
          <w:highlight w:val="none"/>
        </w:rPr>
      </w:pPr>
      <w:bookmarkStart w:id="100" w:name="_Toc314757740"/>
      <w:bookmarkStart w:id="101" w:name="_Toc20586"/>
      <w:bookmarkStart w:id="102" w:name="_Toc316909119"/>
      <w:bookmarkStart w:id="103" w:name="_Toc188348499"/>
      <w:bookmarkStart w:id="104" w:name="_Toc171926595"/>
      <w:bookmarkStart w:id="105" w:name="_Toc233605523"/>
      <w:bookmarkStart w:id="106" w:name="_Toc7237"/>
      <w:r>
        <w:rPr>
          <w:rFonts w:hint="eastAsia"/>
          <w:color w:val="auto"/>
          <w:highlight w:val="none"/>
        </w:rPr>
        <w:t>二</w:t>
      </w:r>
      <w:r>
        <w:rPr>
          <w:rFonts w:hint="eastAsia"/>
          <w:color w:val="auto"/>
          <w:highlight w:val="none"/>
          <w:lang w:val="en-US" w:eastAsia="zh-CN"/>
        </w:rPr>
        <w:t>.</w:t>
      </w:r>
      <w:r>
        <w:rPr>
          <w:rFonts w:hint="eastAsia"/>
          <w:color w:val="auto"/>
          <w:highlight w:val="none"/>
        </w:rPr>
        <w:t>销售收入估算</w:t>
      </w:r>
      <w:bookmarkEnd w:id="100"/>
      <w:bookmarkEnd w:id="101"/>
      <w:bookmarkEnd w:id="102"/>
      <w:bookmarkEnd w:id="103"/>
      <w:bookmarkEnd w:id="104"/>
      <w:bookmarkEnd w:id="105"/>
      <w:bookmarkEnd w:id="106"/>
    </w:p>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bookmarkStart w:id="107" w:name="_Toc171926596"/>
      <w:bookmarkStart w:id="108" w:name="_Toc233605524"/>
      <w:bookmarkStart w:id="109" w:name="_Toc316909120"/>
      <w:bookmarkStart w:id="110" w:name="_Toc314757741"/>
      <w:bookmarkStart w:id="111" w:name="_Toc188348500"/>
      <w:r>
        <w:rPr>
          <w:rFonts w:hint="eastAsia" w:cs="Times New Roman"/>
          <w:color w:val="auto"/>
          <w:kern w:val="0"/>
          <w:sz w:val="28"/>
          <w:szCs w:val="28"/>
          <w:highlight w:val="none"/>
          <w:shd w:val="clear" w:color="auto" w:fill="FFFFFF"/>
        </w:rPr>
        <w:t>年营业收入和年营业税金估算</w:t>
      </w:r>
    </w:p>
    <w:p>
      <w:pPr>
        <w:autoSpaceDE w:val="0"/>
        <w:autoSpaceDN w:val="0"/>
        <w:adjustRightInd w:val="0"/>
        <w:spacing w:line="360" w:lineRule="auto"/>
        <w:ind w:firstLine="560" w:firstLineChars="200"/>
        <w:jc w:val="left"/>
        <w:rPr>
          <w:rFonts w:hint="eastAsia" w:cs="Times New Roman"/>
          <w:color w:val="auto"/>
          <w:kern w:val="0"/>
          <w:sz w:val="28"/>
          <w:szCs w:val="28"/>
          <w:highlight w:val="none"/>
          <w:shd w:val="clear" w:color="auto" w:fill="FFFFFF"/>
          <w:lang w:val="en-US" w:eastAsia="zh-CN"/>
        </w:rPr>
      </w:pPr>
      <w:r>
        <w:rPr>
          <w:rFonts w:hint="eastAsia" w:cs="Times New Roman"/>
          <w:color w:val="auto"/>
          <w:kern w:val="0"/>
          <w:sz w:val="28"/>
          <w:szCs w:val="28"/>
          <w:highlight w:val="none"/>
          <w:shd w:val="clear" w:color="auto" w:fill="FFFFFF"/>
        </w:rPr>
        <w:t>本项目用气为居民、商业、工业、汽车用气</w:t>
      </w:r>
      <w:r>
        <w:rPr>
          <w:rFonts w:hint="eastAsia" w:cs="Times New Roman"/>
          <w:color w:val="auto"/>
          <w:kern w:val="0"/>
          <w:sz w:val="28"/>
          <w:szCs w:val="28"/>
          <w:highlight w:val="none"/>
          <w:shd w:val="clear" w:color="auto" w:fill="FFFFFF"/>
          <w:lang w:eastAsia="zh-CN"/>
        </w:rPr>
        <w:t>，</w:t>
      </w:r>
      <w:r>
        <w:rPr>
          <w:rFonts w:hint="eastAsia" w:cs="Times New Roman"/>
          <w:color w:val="auto"/>
          <w:kern w:val="0"/>
          <w:sz w:val="28"/>
          <w:szCs w:val="28"/>
          <w:highlight w:val="none"/>
          <w:shd w:val="clear" w:color="auto" w:fill="FFFFFF"/>
          <w:lang w:val="en-US" w:eastAsia="zh-CN"/>
        </w:rPr>
        <w:t>其中居民容量气价为3100元/户，工商业容量气价为2315元/立方米*日；计量气价为：</w:t>
      </w:r>
    </w:p>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采用液化天然气供气时，</w:t>
      </w:r>
      <w:r>
        <w:rPr>
          <w:rFonts w:hint="eastAsia" w:cs="Times New Roman"/>
          <w:color w:val="auto"/>
          <w:kern w:val="0"/>
          <w:sz w:val="28"/>
          <w:szCs w:val="28"/>
          <w:highlight w:val="none"/>
          <w:shd w:val="clear" w:color="auto" w:fill="FFFFFF"/>
          <w:lang w:val="en-US" w:eastAsia="zh-CN"/>
        </w:rPr>
        <w:t>计量气价</w:t>
      </w:r>
      <w:r>
        <w:rPr>
          <w:rFonts w:hint="eastAsia" w:cs="Times New Roman"/>
          <w:color w:val="auto"/>
          <w:kern w:val="0"/>
          <w:sz w:val="28"/>
          <w:szCs w:val="28"/>
          <w:highlight w:val="none"/>
          <w:shd w:val="clear" w:color="auto" w:fill="FFFFFF"/>
        </w:rPr>
        <w:t>如下：</w:t>
      </w:r>
    </w:p>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居民用气4.5元/立方米（含税）；</w:t>
      </w:r>
    </w:p>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商业用气5.0元/立方米（含税）；</w:t>
      </w:r>
    </w:p>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工业用气5.0元/立方米（含税）；</w:t>
      </w:r>
    </w:p>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汽车加气用气5.0元/立方米（含税）；</w:t>
      </w:r>
    </w:p>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采用管道天然气供气时，</w:t>
      </w:r>
      <w:r>
        <w:rPr>
          <w:rFonts w:hint="eastAsia" w:cs="Times New Roman"/>
          <w:color w:val="auto"/>
          <w:kern w:val="0"/>
          <w:sz w:val="28"/>
          <w:szCs w:val="28"/>
          <w:highlight w:val="none"/>
          <w:shd w:val="clear" w:color="auto" w:fill="FFFFFF"/>
          <w:lang w:val="en-US" w:eastAsia="zh-CN"/>
        </w:rPr>
        <w:t>计量气价</w:t>
      </w:r>
      <w:r>
        <w:rPr>
          <w:rFonts w:hint="eastAsia" w:cs="Times New Roman"/>
          <w:color w:val="auto"/>
          <w:kern w:val="0"/>
          <w:sz w:val="28"/>
          <w:szCs w:val="28"/>
          <w:highlight w:val="none"/>
          <w:shd w:val="clear" w:color="auto" w:fill="FFFFFF"/>
        </w:rPr>
        <w:t>如下：</w:t>
      </w:r>
    </w:p>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居民用气4.52元/立方米（含税）；</w:t>
      </w:r>
    </w:p>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商业用气4.85元/立方米（含税）；</w:t>
      </w:r>
    </w:p>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工业用气4.5元/立方米（含税）；</w:t>
      </w:r>
    </w:p>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汽车加气用气4.5元/立方米（含税）；</w:t>
      </w:r>
    </w:p>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平均年销售收入为12529.1万元。</w:t>
      </w:r>
    </w:p>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根据现行税法规定，增值税作为价外税不包括在销售税金及附加中，本项目销售税金及附加的平均估算值为47.5万元，年平均增值税为395.8万元。</w:t>
      </w:r>
    </w:p>
    <w:p>
      <w:pPr>
        <w:pStyle w:val="3"/>
        <w:rPr>
          <w:color w:val="auto"/>
          <w:highlight w:val="none"/>
        </w:rPr>
      </w:pPr>
      <w:bookmarkStart w:id="112" w:name="_Toc13697"/>
      <w:bookmarkStart w:id="113" w:name="_Toc664"/>
      <w:r>
        <w:rPr>
          <w:rFonts w:hint="eastAsia"/>
          <w:color w:val="auto"/>
          <w:highlight w:val="none"/>
        </w:rPr>
        <w:t>三.成本费用估算</w:t>
      </w:r>
      <w:bookmarkEnd w:id="107"/>
      <w:bookmarkEnd w:id="108"/>
      <w:bookmarkEnd w:id="109"/>
      <w:bookmarkEnd w:id="110"/>
      <w:bookmarkEnd w:id="111"/>
      <w:bookmarkEnd w:id="112"/>
      <w:bookmarkEnd w:id="113"/>
    </w:p>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本工程气源:2017年~2025年为液化天然气，2025年以后为管道天然气。</w:t>
      </w:r>
    </w:p>
    <w:p>
      <w:pPr>
        <w:autoSpaceDE w:val="0"/>
        <w:autoSpaceDN w:val="0"/>
        <w:adjustRightInd w:val="0"/>
        <w:spacing w:line="360" w:lineRule="auto"/>
        <w:ind w:firstLine="560" w:firstLineChars="200"/>
        <w:jc w:val="center"/>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成本费用基础数据</w:t>
      </w:r>
    </w:p>
    <w:tbl>
      <w:tblPr>
        <w:tblStyle w:val="28"/>
        <w:tblW w:w="9173"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64"/>
        <w:gridCol w:w="2338"/>
        <w:gridCol w:w="2393"/>
        <w:gridCol w:w="1969"/>
        <w:gridCol w:w="170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764" w:type="dxa"/>
            <w:vAlign w:val="center"/>
          </w:tcPr>
          <w:p>
            <w:pPr>
              <w:spacing w:line="400" w:lineRule="atLeast"/>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序号</w:t>
            </w:r>
          </w:p>
        </w:tc>
        <w:tc>
          <w:tcPr>
            <w:tcW w:w="2338" w:type="dxa"/>
            <w:vAlign w:val="center"/>
          </w:tcPr>
          <w:p>
            <w:pPr>
              <w:spacing w:line="400" w:lineRule="atLeast"/>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项目</w:t>
            </w:r>
          </w:p>
        </w:tc>
        <w:tc>
          <w:tcPr>
            <w:tcW w:w="2393" w:type="dxa"/>
            <w:vAlign w:val="center"/>
          </w:tcPr>
          <w:p>
            <w:pPr>
              <w:spacing w:line="400" w:lineRule="atLeast"/>
              <w:jc w:val="center"/>
              <w:rPr>
                <w:rFonts w:asciiTheme="minorEastAsia" w:hAnsiTheme="minorEastAsia" w:cstheme="minorEastAsia"/>
                <w:color w:val="auto"/>
                <w:szCs w:val="21"/>
                <w:highlight w:val="none"/>
              </w:rPr>
            </w:pPr>
          </w:p>
        </w:tc>
        <w:tc>
          <w:tcPr>
            <w:tcW w:w="1969" w:type="dxa"/>
            <w:vAlign w:val="center"/>
          </w:tcPr>
          <w:p>
            <w:pPr>
              <w:spacing w:line="400" w:lineRule="atLeast"/>
              <w:jc w:val="center"/>
              <w:rPr>
                <w:rFonts w:asciiTheme="minorEastAsia" w:hAnsiTheme="minorEastAsia" w:cstheme="minorEastAsia"/>
                <w:color w:val="auto"/>
                <w:szCs w:val="21"/>
                <w:highlight w:val="none"/>
              </w:rPr>
            </w:pPr>
          </w:p>
        </w:tc>
        <w:tc>
          <w:tcPr>
            <w:tcW w:w="1709" w:type="dxa"/>
            <w:vAlign w:val="center"/>
          </w:tcPr>
          <w:p>
            <w:pPr>
              <w:spacing w:line="400" w:lineRule="atLeast"/>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备注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764" w:type="dxa"/>
            <w:vMerge w:val="restart"/>
            <w:vAlign w:val="center"/>
          </w:tcPr>
          <w:p>
            <w:pPr>
              <w:spacing w:line="400" w:lineRule="atLeast"/>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1</w:t>
            </w:r>
          </w:p>
        </w:tc>
        <w:tc>
          <w:tcPr>
            <w:tcW w:w="2338" w:type="dxa"/>
            <w:vMerge w:val="restart"/>
            <w:vAlign w:val="center"/>
          </w:tcPr>
          <w:p>
            <w:pPr>
              <w:spacing w:line="400" w:lineRule="atLeast"/>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液化天然气</w:t>
            </w:r>
          </w:p>
        </w:tc>
        <w:tc>
          <w:tcPr>
            <w:tcW w:w="2393" w:type="dxa"/>
            <w:vAlign w:val="center"/>
          </w:tcPr>
          <w:p>
            <w:pPr>
              <w:spacing w:line="400" w:lineRule="atLeast"/>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数量(万立方米)</w:t>
            </w:r>
          </w:p>
        </w:tc>
        <w:tc>
          <w:tcPr>
            <w:tcW w:w="1969" w:type="dxa"/>
            <w:vAlign w:val="center"/>
          </w:tcPr>
          <w:p>
            <w:pPr>
              <w:spacing w:line="400" w:lineRule="atLeast"/>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3293.7</w:t>
            </w:r>
          </w:p>
        </w:tc>
        <w:tc>
          <w:tcPr>
            <w:tcW w:w="1709" w:type="dxa"/>
            <w:vAlign w:val="center"/>
          </w:tcPr>
          <w:p>
            <w:pPr>
              <w:spacing w:line="400" w:lineRule="atLeast"/>
              <w:jc w:val="center"/>
              <w:rPr>
                <w:rFonts w:asciiTheme="minorEastAsia" w:hAnsiTheme="minorEastAsia" w:cstheme="minorEastAsia"/>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764" w:type="dxa"/>
            <w:vMerge w:val="continue"/>
            <w:vAlign w:val="center"/>
          </w:tcPr>
          <w:p>
            <w:pPr>
              <w:spacing w:line="400" w:lineRule="atLeast"/>
              <w:jc w:val="center"/>
              <w:rPr>
                <w:rFonts w:asciiTheme="minorEastAsia" w:hAnsiTheme="minorEastAsia" w:cstheme="minorEastAsia"/>
                <w:color w:val="auto"/>
                <w:szCs w:val="21"/>
                <w:highlight w:val="none"/>
              </w:rPr>
            </w:pPr>
          </w:p>
        </w:tc>
        <w:tc>
          <w:tcPr>
            <w:tcW w:w="2338" w:type="dxa"/>
            <w:vMerge w:val="continue"/>
            <w:vAlign w:val="center"/>
          </w:tcPr>
          <w:p>
            <w:pPr>
              <w:spacing w:line="400" w:lineRule="atLeast"/>
              <w:jc w:val="center"/>
              <w:rPr>
                <w:rFonts w:asciiTheme="minorEastAsia" w:hAnsiTheme="minorEastAsia" w:cstheme="minorEastAsia"/>
                <w:color w:val="auto"/>
                <w:szCs w:val="21"/>
                <w:highlight w:val="none"/>
              </w:rPr>
            </w:pPr>
          </w:p>
        </w:tc>
        <w:tc>
          <w:tcPr>
            <w:tcW w:w="2393" w:type="dxa"/>
            <w:vAlign w:val="center"/>
          </w:tcPr>
          <w:p>
            <w:pPr>
              <w:spacing w:line="400" w:lineRule="atLeast"/>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价格（元/立方米）</w:t>
            </w:r>
          </w:p>
        </w:tc>
        <w:tc>
          <w:tcPr>
            <w:tcW w:w="1969" w:type="dxa"/>
            <w:vAlign w:val="center"/>
          </w:tcPr>
          <w:p>
            <w:pPr>
              <w:spacing w:line="400" w:lineRule="atLeast"/>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含税3.4</w:t>
            </w:r>
          </w:p>
        </w:tc>
        <w:tc>
          <w:tcPr>
            <w:tcW w:w="1709" w:type="dxa"/>
            <w:vAlign w:val="center"/>
          </w:tcPr>
          <w:p>
            <w:pPr>
              <w:spacing w:line="400" w:lineRule="atLeast"/>
              <w:jc w:val="center"/>
              <w:rPr>
                <w:rFonts w:asciiTheme="minorEastAsia" w:hAnsiTheme="minorEastAsia" w:cstheme="minorEastAsia"/>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764" w:type="dxa"/>
            <w:vMerge w:val="continue"/>
            <w:vAlign w:val="center"/>
          </w:tcPr>
          <w:p>
            <w:pPr>
              <w:spacing w:line="400" w:lineRule="atLeast"/>
              <w:jc w:val="center"/>
              <w:rPr>
                <w:rFonts w:asciiTheme="minorEastAsia" w:hAnsiTheme="minorEastAsia" w:cstheme="minorEastAsia"/>
                <w:color w:val="auto"/>
                <w:szCs w:val="21"/>
                <w:highlight w:val="none"/>
              </w:rPr>
            </w:pPr>
          </w:p>
        </w:tc>
        <w:tc>
          <w:tcPr>
            <w:tcW w:w="2338" w:type="dxa"/>
            <w:vMerge w:val="restart"/>
            <w:vAlign w:val="center"/>
          </w:tcPr>
          <w:p>
            <w:pPr>
              <w:spacing w:line="400" w:lineRule="atLeast"/>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管道天然气</w:t>
            </w:r>
          </w:p>
        </w:tc>
        <w:tc>
          <w:tcPr>
            <w:tcW w:w="2393" w:type="dxa"/>
            <w:vAlign w:val="center"/>
          </w:tcPr>
          <w:p>
            <w:pPr>
              <w:spacing w:line="400" w:lineRule="atLeast"/>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数量(万立方米)</w:t>
            </w:r>
          </w:p>
        </w:tc>
        <w:tc>
          <w:tcPr>
            <w:tcW w:w="1969" w:type="dxa"/>
            <w:vAlign w:val="center"/>
          </w:tcPr>
          <w:p>
            <w:pPr>
              <w:spacing w:line="400" w:lineRule="atLeast"/>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3293.7</w:t>
            </w:r>
          </w:p>
        </w:tc>
        <w:tc>
          <w:tcPr>
            <w:tcW w:w="1709" w:type="dxa"/>
            <w:vAlign w:val="center"/>
          </w:tcPr>
          <w:p>
            <w:pPr>
              <w:spacing w:line="400" w:lineRule="atLeast"/>
              <w:jc w:val="center"/>
              <w:rPr>
                <w:rFonts w:asciiTheme="minorEastAsia" w:hAnsiTheme="minorEastAsia" w:cstheme="minorEastAsia"/>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764" w:type="dxa"/>
            <w:vMerge w:val="continue"/>
            <w:vAlign w:val="center"/>
          </w:tcPr>
          <w:p>
            <w:pPr>
              <w:spacing w:line="400" w:lineRule="atLeast"/>
              <w:jc w:val="center"/>
              <w:rPr>
                <w:rFonts w:asciiTheme="minorEastAsia" w:hAnsiTheme="minorEastAsia" w:cstheme="minorEastAsia"/>
                <w:color w:val="auto"/>
                <w:szCs w:val="21"/>
                <w:highlight w:val="none"/>
              </w:rPr>
            </w:pPr>
          </w:p>
        </w:tc>
        <w:tc>
          <w:tcPr>
            <w:tcW w:w="2338" w:type="dxa"/>
            <w:vMerge w:val="continue"/>
            <w:vAlign w:val="center"/>
          </w:tcPr>
          <w:p>
            <w:pPr>
              <w:spacing w:line="400" w:lineRule="atLeast"/>
              <w:jc w:val="center"/>
              <w:rPr>
                <w:rFonts w:asciiTheme="minorEastAsia" w:hAnsiTheme="minorEastAsia" w:cstheme="minorEastAsia"/>
                <w:color w:val="auto"/>
                <w:szCs w:val="21"/>
                <w:highlight w:val="none"/>
              </w:rPr>
            </w:pPr>
          </w:p>
        </w:tc>
        <w:tc>
          <w:tcPr>
            <w:tcW w:w="2393" w:type="dxa"/>
            <w:vAlign w:val="center"/>
          </w:tcPr>
          <w:p>
            <w:pPr>
              <w:spacing w:line="400" w:lineRule="atLeast"/>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价格（元/立方米）</w:t>
            </w:r>
          </w:p>
        </w:tc>
        <w:tc>
          <w:tcPr>
            <w:tcW w:w="1969" w:type="dxa"/>
            <w:vAlign w:val="center"/>
          </w:tcPr>
          <w:p>
            <w:pPr>
              <w:spacing w:line="400" w:lineRule="atLeast"/>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含税2.9</w:t>
            </w:r>
          </w:p>
        </w:tc>
        <w:tc>
          <w:tcPr>
            <w:tcW w:w="1709" w:type="dxa"/>
            <w:vAlign w:val="center"/>
          </w:tcPr>
          <w:p>
            <w:pPr>
              <w:spacing w:line="400" w:lineRule="atLeast"/>
              <w:jc w:val="center"/>
              <w:rPr>
                <w:rFonts w:asciiTheme="minorEastAsia" w:hAnsiTheme="minorEastAsia" w:cstheme="minorEastAsia"/>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764" w:type="dxa"/>
            <w:vMerge w:val="restart"/>
            <w:vAlign w:val="center"/>
          </w:tcPr>
          <w:p>
            <w:pPr>
              <w:spacing w:line="400" w:lineRule="atLeast"/>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2</w:t>
            </w:r>
          </w:p>
        </w:tc>
        <w:tc>
          <w:tcPr>
            <w:tcW w:w="2338" w:type="dxa"/>
            <w:vMerge w:val="restart"/>
            <w:vAlign w:val="center"/>
          </w:tcPr>
          <w:p>
            <w:pPr>
              <w:spacing w:line="400" w:lineRule="atLeast"/>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水</w:t>
            </w:r>
          </w:p>
        </w:tc>
        <w:tc>
          <w:tcPr>
            <w:tcW w:w="2393" w:type="dxa"/>
            <w:vAlign w:val="center"/>
          </w:tcPr>
          <w:p>
            <w:pPr>
              <w:spacing w:line="400" w:lineRule="atLeast"/>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数量(万吨)</w:t>
            </w:r>
          </w:p>
        </w:tc>
        <w:tc>
          <w:tcPr>
            <w:tcW w:w="1969" w:type="dxa"/>
            <w:vAlign w:val="center"/>
          </w:tcPr>
          <w:p>
            <w:pPr>
              <w:spacing w:line="400" w:lineRule="atLeast"/>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1</w:t>
            </w:r>
          </w:p>
        </w:tc>
        <w:tc>
          <w:tcPr>
            <w:tcW w:w="1709" w:type="dxa"/>
            <w:vAlign w:val="center"/>
          </w:tcPr>
          <w:p>
            <w:pPr>
              <w:spacing w:line="400" w:lineRule="atLeast"/>
              <w:jc w:val="center"/>
              <w:rPr>
                <w:rFonts w:asciiTheme="minorEastAsia" w:hAnsiTheme="minorEastAsia" w:cstheme="minorEastAsia"/>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764" w:type="dxa"/>
            <w:vMerge w:val="continue"/>
            <w:vAlign w:val="center"/>
          </w:tcPr>
          <w:p>
            <w:pPr>
              <w:spacing w:line="400" w:lineRule="atLeast"/>
              <w:jc w:val="center"/>
              <w:rPr>
                <w:rFonts w:asciiTheme="minorEastAsia" w:hAnsiTheme="minorEastAsia" w:cstheme="minorEastAsia"/>
                <w:color w:val="auto"/>
                <w:szCs w:val="21"/>
                <w:highlight w:val="none"/>
              </w:rPr>
            </w:pPr>
          </w:p>
        </w:tc>
        <w:tc>
          <w:tcPr>
            <w:tcW w:w="2338" w:type="dxa"/>
            <w:vMerge w:val="continue"/>
            <w:vAlign w:val="center"/>
          </w:tcPr>
          <w:p>
            <w:pPr>
              <w:spacing w:line="400" w:lineRule="atLeast"/>
              <w:jc w:val="center"/>
              <w:rPr>
                <w:rFonts w:asciiTheme="minorEastAsia" w:hAnsiTheme="minorEastAsia" w:cstheme="minorEastAsia"/>
                <w:color w:val="auto"/>
                <w:szCs w:val="21"/>
                <w:highlight w:val="none"/>
              </w:rPr>
            </w:pPr>
          </w:p>
        </w:tc>
        <w:tc>
          <w:tcPr>
            <w:tcW w:w="2393" w:type="dxa"/>
            <w:vAlign w:val="center"/>
          </w:tcPr>
          <w:p>
            <w:pPr>
              <w:spacing w:line="400" w:lineRule="atLeast"/>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价格(元/吨)</w:t>
            </w:r>
          </w:p>
        </w:tc>
        <w:tc>
          <w:tcPr>
            <w:tcW w:w="1969" w:type="dxa"/>
            <w:vAlign w:val="center"/>
          </w:tcPr>
          <w:p>
            <w:pPr>
              <w:spacing w:line="400" w:lineRule="atLeast"/>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3</w:t>
            </w:r>
          </w:p>
        </w:tc>
        <w:tc>
          <w:tcPr>
            <w:tcW w:w="1709" w:type="dxa"/>
            <w:vAlign w:val="center"/>
          </w:tcPr>
          <w:p>
            <w:pPr>
              <w:spacing w:line="400" w:lineRule="atLeast"/>
              <w:jc w:val="center"/>
              <w:rPr>
                <w:rFonts w:asciiTheme="minorEastAsia" w:hAnsiTheme="minorEastAsia" w:cstheme="minorEastAsia"/>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764" w:type="dxa"/>
            <w:vMerge w:val="restart"/>
            <w:vAlign w:val="center"/>
          </w:tcPr>
          <w:p>
            <w:pPr>
              <w:spacing w:line="400" w:lineRule="atLeast"/>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3</w:t>
            </w:r>
          </w:p>
        </w:tc>
        <w:tc>
          <w:tcPr>
            <w:tcW w:w="2338" w:type="dxa"/>
            <w:vMerge w:val="restart"/>
            <w:vAlign w:val="center"/>
          </w:tcPr>
          <w:p>
            <w:pPr>
              <w:spacing w:line="400" w:lineRule="atLeast"/>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电</w:t>
            </w:r>
          </w:p>
        </w:tc>
        <w:tc>
          <w:tcPr>
            <w:tcW w:w="2393" w:type="dxa"/>
            <w:vAlign w:val="center"/>
          </w:tcPr>
          <w:p>
            <w:pPr>
              <w:spacing w:line="400" w:lineRule="atLeast"/>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数量(万度)</w:t>
            </w:r>
          </w:p>
        </w:tc>
        <w:tc>
          <w:tcPr>
            <w:tcW w:w="1969" w:type="dxa"/>
            <w:vAlign w:val="center"/>
          </w:tcPr>
          <w:p>
            <w:pPr>
              <w:spacing w:line="400" w:lineRule="atLeast"/>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65</w:t>
            </w:r>
          </w:p>
        </w:tc>
        <w:tc>
          <w:tcPr>
            <w:tcW w:w="1709" w:type="dxa"/>
            <w:vAlign w:val="center"/>
          </w:tcPr>
          <w:p>
            <w:pPr>
              <w:spacing w:line="400" w:lineRule="atLeast"/>
              <w:jc w:val="center"/>
              <w:rPr>
                <w:rFonts w:asciiTheme="minorEastAsia" w:hAnsiTheme="minorEastAsia" w:cstheme="minorEastAsia"/>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764" w:type="dxa"/>
            <w:vMerge w:val="continue"/>
            <w:vAlign w:val="center"/>
          </w:tcPr>
          <w:p>
            <w:pPr>
              <w:spacing w:line="400" w:lineRule="atLeast"/>
              <w:jc w:val="center"/>
              <w:rPr>
                <w:rFonts w:asciiTheme="minorEastAsia" w:hAnsiTheme="minorEastAsia" w:cstheme="minorEastAsia"/>
                <w:color w:val="auto"/>
                <w:szCs w:val="21"/>
                <w:highlight w:val="none"/>
              </w:rPr>
            </w:pPr>
          </w:p>
        </w:tc>
        <w:tc>
          <w:tcPr>
            <w:tcW w:w="2338" w:type="dxa"/>
            <w:vMerge w:val="continue"/>
            <w:vAlign w:val="center"/>
          </w:tcPr>
          <w:p>
            <w:pPr>
              <w:spacing w:line="400" w:lineRule="atLeast"/>
              <w:jc w:val="center"/>
              <w:rPr>
                <w:rFonts w:asciiTheme="minorEastAsia" w:hAnsiTheme="minorEastAsia" w:cstheme="minorEastAsia"/>
                <w:color w:val="auto"/>
                <w:szCs w:val="21"/>
                <w:highlight w:val="none"/>
              </w:rPr>
            </w:pPr>
          </w:p>
        </w:tc>
        <w:tc>
          <w:tcPr>
            <w:tcW w:w="2393" w:type="dxa"/>
            <w:vAlign w:val="center"/>
          </w:tcPr>
          <w:p>
            <w:pPr>
              <w:spacing w:line="400" w:lineRule="atLeast"/>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价格(元/度)</w:t>
            </w:r>
          </w:p>
        </w:tc>
        <w:tc>
          <w:tcPr>
            <w:tcW w:w="1969" w:type="dxa"/>
            <w:vAlign w:val="center"/>
          </w:tcPr>
          <w:p>
            <w:pPr>
              <w:spacing w:line="400" w:lineRule="atLeast"/>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1</w:t>
            </w:r>
          </w:p>
        </w:tc>
        <w:tc>
          <w:tcPr>
            <w:tcW w:w="1709" w:type="dxa"/>
            <w:vAlign w:val="center"/>
          </w:tcPr>
          <w:p>
            <w:pPr>
              <w:spacing w:line="400" w:lineRule="atLeast"/>
              <w:jc w:val="center"/>
              <w:rPr>
                <w:rFonts w:asciiTheme="minorEastAsia" w:hAnsiTheme="minorEastAsia" w:cstheme="minorEastAsia"/>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764" w:type="dxa"/>
            <w:vMerge w:val="restart"/>
            <w:vAlign w:val="center"/>
          </w:tcPr>
          <w:p>
            <w:pPr>
              <w:spacing w:line="400" w:lineRule="atLeast"/>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4</w:t>
            </w:r>
          </w:p>
        </w:tc>
        <w:tc>
          <w:tcPr>
            <w:tcW w:w="2338" w:type="dxa"/>
            <w:vMerge w:val="restart"/>
            <w:vAlign w:val="center"/>
          </w:tcPr>
          <w:p>
            <w:pPr>
              <w:spacing w:line="400" w:lineRule="atLeast"/>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人员工资及福利费</w:t>
            </w:r>
          </w:p>
        </w:tc>
        <w:tc>
          <w:tcPr>
            <w:tcW w:w="2393" w:type="dxa"/>
            <w:vAlign w:val="center"/>
          </w:tcPr>
          <w:p>
            <w:pPr>
              <w:spacing w:line="400" w:lineRule="atLeast"/>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人数</w:t>
            </w:r>
          </w:p>
        </w:tc>
        <w:tc>
          <w:tcPr>
            <w:tcW w:w="1969" w:type="dxa"/>
            <w:vAlign w:val="center"/>
          </w:tcPr>
          <w:p>
            <w:pPr>
              <w:spacing w:line="400" w:lineRule="atLeast"/>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50</w:t>
            </w:r>
          </w:p>
        </w:tc>
        <w:tc>
          <w:tcPr>
            <w:tcW w:w="1709" w:type="dxa"/>
            <w:vAlign w:val="center"/>
          </w:tcPr>
          <w:p>
            <w:pPr>
              <w:spacing w:line="400" w:lineRule="atLeast"/>
              <w:jc w:val="center"/>
              <w:rPr>
                <w:rFonts w:asciiTheme="minorEastAsia" w:hAnsiTheme="minorEastAsia" w:cstheme="minorEastAsia"/>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764" w:type="dxa"/>
            <w:vMerge w:val="continue"/>
            <w:vAlign w:val="center"/>
          </w:tcPr>
          <w:p>
            <w:pPr>
              <w:spacing w:line="400" w:lineRule="atLeast"/>
              <w:jc w:val="center"/>
              <w:rPr>
                <w:rFonts w:asciiTheme="minorEastAsia" w:hAnsiTheme="minorEastAsia" w:cstheme="minorEastAsia"/>
                <w:color w:val="auto"/>
                <w:szCs w:val="21"/>
                <w:highlight w:val="none"/>
              </w:rPr>
            </w:pPr>
          </w:p>
        </w:tc>
        <w:tc>
          <w:tcPr>
            <w:tcW w:w="2338" w:type="dxa"/>
            <w:vMerge w:val="continue"/>
            <w:vAlign w:val="center"/>
          </w:tcPr>
          <w:p>
            <w:pPr>
              <w:spacing w:line="400" w:lineRule="atLeast"/>
              <w:jc w:val="center"/>
              <w:rPr>
                <w:rFonts w:asciiTheme="minorEastAsia" w:hAnsiTheme="minorEastAsia" w:cstheme="minorEastAsia"/>
                <w:color w:val="auto"/>
                <w:szCs w:val="21"/>
                <w:highlight w:val="none"/>
              </w:rPr>
            </w:pPr>
          </w:p>
        </w:tc>
        <w:tc>
          <w:tcPr>
            <w:tcW w:w="2393" w:type="dxa"/>
            <w:vAlign w:val="center"/>
          </w:tcPr>
          <w:p>
            <w:pPr>
              <w:spacing w:line="400" w:lineRule="atLeast"/>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年工资及福利费万元/年</w:t>
            </w:r>
          </w:p>
        </w:tc>
        <w:tc>
          <w:tcPr>
            <w:tcW w:w="1969" w:type="dxa"/>
            <w:vAlign w:val="center"/>
          </w:tcPr>
          <w:p>
            <w:pPr>
              <w:spacing w:line="400" w:lineRule="atLeast"/>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11</w:t>
            </w:r>
          </w:p>
        </w:tc>
        <w:tc>
          <w:tcPr>
            <w:tcW w:w="1709" w:type="dxa"/>
            <w:vAlign w:val="center"/>
          </w:tcPr>
          <w:p>
            <w:pPr>
              <w:spacing w:line="400" w:lineRule="atLeast"/>
              <w:jc w:val="center"/>
              <w:rPr>
                <w:rFonts w:asciiTheme="minorEastAsia" w:hAnsiTheme="minorEastAsia" w:cstheme="minorEastAsia"/>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764" w:type="dxa"/>
            <w:vAlign w:val="center"/>
          </w:tcPr>
          <w:p>
            <w:pPr>
              <w:spacing w:line="400" w:lineRule="atLeast"/>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5</w:t>
            </w:r>
          </w:p>
        </w:tc>
        <w:tc>
          <w:tcPr>
            <w:tcW w:w="2338" w:type="dxa"/>
            <w:vAlign w:val="center"/>
          </w:tcPr>
          <w:p>
            <w:pPr>
              <w:spacing w:line="400" w:lineRule="atLeast"/>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固定资产折旧</w:t>
            </w:r>
          </w:p>
        </w:tc>
        <w:tc>
          <w:tcPr>
            <w:tcW w:w="2393" w:type="dxa"/>
            <w:vAlign w:val="center"/>
          </w:tcPr>
          <w:p>
            <w:pPr>
              <w:spacing w:line="400" w:lineRule="atLeast"/>
              <w:jc w:val="center"/>
              <w:rPr>
                <w:rFonts w:asciiTheme="minorEastAsia" w:hAnsiTheme="minorEastAsia" w:cstheme="minorEastAsia"/>
                <w:color w:val="auto"/>
                <w:szCs w:val="21"/>
                <w:highlight w:val="none"/>
              </w:rPr>
            </w:pPr>
          </w:p>
        </w:tc>
        <w:tc>
          <w:tcPr>
            <w:tcW w:w="1969" w:type="dxa"/>
            <w:vAlign w:val="center"/>
          </w:tcPr>
          <w:p>
            <w:pPr>
              <w:spacing w:line="400" w:lineRule="atLeast"/>
              <w:jc w:val="center"/>
              <w:rPr>
                <w:rFonts w:asciiTheme="minorEastAsia" w:hAnsiTheme="minorEastAsia" w:cstheme="minorEastAsia"/>
                <w:color w:val="auto"/>
                <w:szCs w:val="21"/>
                <w:highlight w:val="none"/>
              </w:rPr>
            </w:pPr>
          </w:p>
        </w:tc>
        <w:tc>
          <w:tcPr>
            <w:tcW w:w="1709" w:type="dxa"/>
            <w:vAlign w:val="center"/>
          </w:tcPr>
          <w:p>
            <w:pPr>
              <w:spacing w:line="400" w:lineRule="atLeast"/>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平均年限法,20年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764" w:type="dxa"/>
            <w:vAlign w:val="center"/>
          </w:tcPr>
          <w:p>
            <w:pPr>
              <w:spacing w:line="400" w:lineRule="atLeast"/>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6</w:t>
            </w:r>
          </w:p>
        </w:tc>
        <w:tc>
          <w:tcPr>
            <w:tcW w:w="2338" w:type="dxa"/>
            <w:vAlign w:val="center"/>
          </w:tcPr>
          <w:p>
            <w:pPr>
              <w:spacing w:line="400" w:lineRule="atLeast"/>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其它资产摊销</w:t>
            </w:r>
          </w:p>
        </w:tc>
        <w:tc>
          <w:tcPr>
            <w:tcW w:w="2393" w:type="dxa"/>
            <w:vAlign w:val="center"/>
          </w:tcPr>
          <w:p>
            <w:pPr>
              <w:spacing w:line="400" w:lineRule="atLeast"/>
              <w:jc w:val="center"/>
              <w:rPr>
                <w:rFonts w:asciiTheme="minorEastAsia" w:hAnsiTheme="minorEastAsia" w:cstheme="minorEastAsia"/>
                <w:color w:val="auto"/>
                <w:szCs w:val="21"/>
                <w:highlight w:val="none"/>
              </w:rPr>
            </w:pPr>
          </w:p>
        </w:tc>
        <w:tc>
          <w:tcPr>
            <w:tcW w:w="1969" w:type="dxa"/>
            <w:vAlign w:val="center"/>
          </w:tcPr>
          <w:p>
            <w:pPr>
              <w:spacing w:line="400" w:lineRule="atLeast"/>
              <w:jc w:val="center"/>
              <w:rPr>
                <w:rFonts w:asciiTheme="minorEastAsia" w:hAnsiTheme="minorEastAsia" w:cstheme="minorEastAsia"/>
                <w:color w:val="auto"/>
                <w:szCs w:val="21"/>
                <w:highlight w:val="none"/>
              </w:rPr>
            </w:pPr>
          </w:p>
        </w:tc>
        <w:tc>
          <w:tcPr>
            <w:tcW w:w="1709" w:type="dxa"/>
            <w:vAlign w:val="center"/>
          </w:tcPr>
          <w:p>
            <w:pPr>
              <w:spacing w:line="400" w:lineRule="atLeast"/>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5年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764" w:type="dxa"/>
            <w:vAlign w:val="center"/>
          </w:tcPr>
          <w:p>
            <w:pPr>
              <w:spacing w:line="400" w:lineRule="atLeast"/>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7</w:t>
            </w:r>
          </w:p>
        </w:tc>
        <w:tc>
          <w:tcPr>
            <w:tcW w:w="2338" w:type="dxa"/>
            <w:vAlign w:val="center"/>
          </w:tcPr>
          <w:p>
            <w:pPr>
              <w:spacing w:line="400" w:lineRule="atLeast"/>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修理费用</w:t>
            </w:r>
          </w:p>
        </w:tc>
        <w:tc>
          <w:tcPr>
            <w:tcW w:w="2393" w:type="dxa"/>
            <w:vAlign w:val="center"/>
          </w:tcPr>
          <w:p>
            <w:pPr>
              <w:spacing w:line="400" w:lineRule="atLeast"/>
              <w:jc w:val="center"/>
              <w:rPr>
                <w:rFonts w:asciiTheme="minorEastAsia" w:hAnsiTheme="minorEastAsia" w:cstheme="minorEastAsia"/>
                <w:color w:val="auto"/>
                <w:szCs w:val="21"/>
                <w:highlight w:val="none"/>
              </w:rPr>
            </w:pPr>
          </w:p>
        </w:tc>
        <w:tc>
          <w:tcPr>
            <w:tcW w:w="1969" w:type="dxa"/>
            <w:vAlign w:val="center"/>
          </w:tcPr>
          <w:p>
            <w:pPr>
              <w:spacing w:line="400" w:lineRule="atLeast"/>
              <w:jc w:val="center"/>
              <w:rPr>
                <w:rFonts w:asciiTheme="minorEastAsia" w:hAnsiTheme="minorEastAsia" w:cstheme="minorEastAsia"/>
                <w:color w:val="auto"/>
                <w:szCs w:val="21"/>
                <w:highlight w:val="none"/>
              </w:rPr>
            </w:pPr>
          </w:p>
        </w:tc>
        <w:tc>
          <w:tcPr>
            <w:tcW w:w="1709" w:type="dxa"/>
            <w:vAlign w:val="center"/>
          </w:tcPr>
          <w:p>
            <w:pPr>
              <w:spacing w:line="400" w:lineRule="atLeast"/>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取折旧费50%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764" w:type="dxa"/>
            <w:vAlign w:val="center"/>
          </w:tcPr>
          <w:p>
            <w:pPr>
              <w:spacing w:line="400" w:lineRule="atLeast"/>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8</w:t>
            </w:r>
          </w:p>
        </w:tc>
        <w:tc>
          <w:tcPr>
            <w:tcW w:w="2338" w:type="dxa"/>
            <w:vAlign w:val="center"/>
          </w:tcPr>
          <w:p>
            <w:pPr>
              <w:spacing w:line="400" w:lineRule="atLeast"/>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其它营业费用</w:t>
            </w:r>
          </w:p>
        </w:tc>
        <w:tc>
          <w:tcPr>
            <w:tcW w:w="2393" w:type="dxa"/>
            <w:vAlign w:val="center"/>
          </w:tcPr>
          <w:p>
            <w:pPr>
              <w:spacing w:line="400" w:lineRule="atLeast"/>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销售收入的0.8%</w:t>
            </w:r>
          </w:p>
        </w:tc>
        <w:tc>
          <w:tcPr>
            <w:tcW w:w="1969" w:type="dxa"/>
            <w:vAlign w:val="center"/>
          </w:tcPr>
          <w:p>
            <w:pPr>
              <w:spacing w:line="400" w:lineRule="atLeast"/>
              <w:jc w:val="center"/>
              <w:rPr>
                <w:rFonts w:asciiTheme="minorEastAsia" w:hAnsiTheme="minorEastAsia" w:cstheme="minorEastAsia"/>
                <w:color w:val="auto"/>
                <w:szCs w:val="21"/>
                <w:highlight w:val="none"/>
              </w:rPr>
            </w:pPr>
          </w:p>
        </w:tc>
        <w:tc>
          <w:tcPr>
            <w:tcW w:w="1709" w:type="dxa"/>
            <w:vAlign w:val="center"/>
          </w:tcPr>
          <w:p>
            <w:pPr>
              <w:spacing w:line="400" w:lineRule="atLeast"/>
              <w:jc w:val="center"/>
              <w:rPr>
                <w:rFonts w:asciiTheme="minorEastAsia" w:hAnsiTheme="minorEastAsia" w:cstheme="minorEastAsia"/>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764" w:type="dxa"/>
            <w:vAlign w:val="center"/>
          </w:tcPr>
          <w:p>
            <w:pPr>
              <w:spacing w:line="400" w:lineRule="atLeast"/>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9</w:t>
            </w:r>
          </w:p>
        </w:tc>
        <w:tc>
          <w:tcPr>
            <w:tcW w:w="2338" w:type="dxa"/>
            <w:vAlign w:val="center"/>
          </w:tcPr>
          <w:p>
            <w:pPr>
              <w:spacing w:line="400" w:lineRule="atLeast"/>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营运费用</w:t>
            </w:r>
          </w:p>
        </w:tc>
        <w:tc>
          <w:tcPr>
            <w:tcW w:w="2393" w:type="dxa"/>
            <w:vAlign w:val="center"/>
          </w:tcPr>
          <w:p>
            <w:pPr>
              <w:spacing w:line="400" w:lineRule="atLeast"/>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销售收入的2%</w:t>
            </w:r>
          </w:p>
        </w:tc>
        <w:tc>
          <w:tcPr>
            <w:tcW w:w="1969" w:type="dxa"/>
            <w:vAlign w:val="center"/>
          </w:tcPr>
          <w:p>
            <w:pPr>
              <w:spacing w:line="400" w:lineRule="atLeast"/>
              <w:jc w:val="center"/>
              <w:rPr>
                <w:rFonts w:asciiTheme="minorEastAsia" w:hAnsiTheme="minorEastAsia" w:cstheme="minorEastAsia"/>
                <w:color w:val="auto"/>
                <w:szCs w:val="21"/>
                <w:highlight w:val="none"/>
              </w:rPr>
            </w:pPr>
          </w:p>
        </w:tc>
        <w:tc>
          <w:tcPr>
            <w:tcW w:w="1709" w:type="dxa"/>
            <w:vAlign w:val="center"/>
          </w:tcPr>
          <w:p>
            <w:pPr>
              <w:spacing w:line="400" w:lineRule="atLeast"/>
              <w:jc w:val="center"/>
              <w:rPr>
                <w:rFonts w:asciiTheme="minorEastAsia" w:hAnsiTheme="minorEastAsia" w:cstheme="minorEastAsia"/>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764" w:type="dxa"/>
            <w:vAlign w:val="center"/>
          </w:tcPr>
          <w:p>
            <w:pPr>
              <w:spacing w:line="400" w:lineRule="atLeast"/>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10</w:t>
            </w:r>
          </w:p>
        </w:tc>
        <w:tc>
          <w:tcPr>
            <w:tcW w:w="2338" w:type="dxa"/>
            <w:vAlign w:val="center"/>
          </w:tcPr>
          <w:p>
            <w:pPr>
              <w:spacing w:line="400" w:lineRule="atLeast"/>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其它费用</w:t>
            </w:r>
          </w:p>
        </w:tc>
        <w:tc>
          <w:tcPr>
            <w:tcW w:w="2393" w:type="dxa"/>
            <w:vAlign w:val="center"/>
          </w:tcPr>
          <w:p>
            <w:pPr>
              <w:spacing w:line="400" w:lineRule="atLeast"/>
              <w:jc w:val="center"/>
              <w:rPr>
                <w:rFonts w:asciiTheme="minorEastAsia" w:hAnsiTheme="minorEastAsia" w:cstheme="minorEastAsia"/>
                <w:color w:val="auto"/>
                <w:szCs w:val="21"/>
                <w:highlight w:val="none"/>
              </w:rPr>
            </w:pPr>
          </w:p>
        </w:tc>
        <w:tc>
          <w:tcPr>
            <w:tcW w:w="1969" w:type="dxa"/>
            <w:vAlign w:val="center"/>
          </w:tcPr>
          <w:p>
            <w:pPr>
              <w:spacing w:line="400" w:lineRule="atLeast"/>
              <w:jc w:val="center"/>
              <w:rPr>
                <w:rFonts w:asciiTheme="minorEastAsia" w:hAnsiTheme="minorEastAsia" w:cstheme="minorEastAsia"/>
                <w:color w:val="auto"/>
                <w:szCs w:val="21"/>
                <w:highlight w:val="none"/>
              </w:rPr>
            </w:pPr>
          </w:p>
        </w:tc>
        <w:tc>
          <w:tcPr>
            <w:tcW w:w="1709" w:type="dxa"/>
            <w:vAlign w:val="center"/>
          </w:tcPr>
          <w:p>
            <w:pPr>
              <w:spacing w:line="400" w:lineRule="atLeast"/>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年工资及福利费的70%</w:t>
            </w:r>
          </w:p>
        </w:tc>
      </w:tr>
    </w:tbl>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（1）液化天然气购入价格：3.4元/立方米(到站价含税)；</w:t>
      </w:r>
    </w:p>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管道天然气：2.9元/立方米（含税价）</w:t>
      </w:r>
    </w:p>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（2）水价为3元/吨，电价为1元/度(含税价格)；</w:t>
      </w:r>
    </w:p>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达产年用水10000吨，用电65万度；</w:t>
      </w:r>
    </w:p>
    <w:p>
      <w:pPr>
        <w:autoSpaceDE w:val="0"/>
        <w:autoSpaceDN w:val="0"/>
        <w:adjustRightInd w:val="0"/>
        <w:spacing w:line="360" w:lineRule="auto"/>
        <w:ind w:firstLine="426" w:firstLineChars="152"/>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平均年工资及福利费为11万元/人·年(达产年)；</w:t>
      </w:r>
    </w:p>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（3）固定资产折旧；</w:t>
      </w:r>
    </w:p>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第一部分工程费用和预备费进入固定资产原值进行折旧，按平均年限法折旧，折旧年限为20年，净残值率为4%。</w:t>
      </w:r>
    </w:p>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（4）无形资产及其它资产摊销</w:t>
      </w:r>
    </w:p>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按5年摊销。</w:t>
      </w:r>
    </w:p>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（5）修理费估算</w:t>
      </w:r>
    </w:p>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本项目修理费按折旧费的50%计算。</w:t>
      </w:r>
    </w:p>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（6）其它费用估算为简化计算，该项费用按工资及福利费的70%计算。</w:t>
      </w:r>
    </w:p>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（7）单位平均成本为4.1元/立方米。</w:t>
      </w:r>
    </w:p>
    <w:p>
      <w:pPr>
        <w:pStyle w:val="3"/>
        <w:rPr>
          <w:color w:val="auto"/>
          <w:highlight w:val="none"/>
        </w:rPr>
      </w:pPr>
      <w:bookmarkStart w:id="114" w:name="_Toc1274"/>
      <w:bookmarkStart w:id="115" w:name="_Toc316909121"/>
      <w:bookmarkStart w:id="116" w:name="_Toc233605525"/>
      <w:bookmarkStart w:id="117" w:name="_Toc188348501"/>
      <w:bookmarkStart w:id="118" w:name="_Toc171926597"/>
      <w:bookmarkStart w:id="119" w:name="_Toc314757742"/>
      <w:bookmarkStart w:id="120" w:name="_Toc2272"/>
      <w:r>
        <w:rPr>
          <w:rFonts w:hint="eastAsia"/>
          <w:color w:val="auto"/>
          <w:highlight w:val="none"/>
        </w:rPr>
        <w:t>四</w:t>
      </w:r>
      <w:r>
        <w:rPr>
          <w:rFonts w:hint="eastAsia"/>
          <w:color w:val="auto"/>
          <w:highlight w:val="none"/>
          <w:lang w:val="en-US" w:eastAsia="zh-CN"/>
        </w:rPr>
        <w:t>.</w:t>
      </w:r>
      <w:r>
        <w:rPr>
          <w:rFonts w:hint="eastAsia"/>
          <w:color w:val="auto"/>
          <w:highlight w:val="none"/>
        </w:rPr>
        <w:t>利润总额及分配</w:t>
      </w:r>
      <w:bookmarkEnd w:id="114"/>
      <w:bookmarkEnd w:id="115"/>
      <w:bookmarkEnd w:id="116"/>
      <w:bookmarkEnd w:id="117"/>
      <w:bookmarkEnd w:id="118"/>
      <w:bookmarkEnd w:id="119"/>
      <w:bookmarkEnd w:id="120"/>
    </w:p>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利润总额及分配见财务评价报表；</w:t>
      </w:r>
    </w:p>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（1）利润总额年平均值为1468.7万元，所得税按应纳税所得额的25%计取，盈余公积金按税后利润的10%计取。</w:t>
      </w:r>
    </w:p>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（2）年平均净利润为1101.5万元，年平均所得税为367.2万元。</w:t>
      </w:r>
    </w:p>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（3）根据损益表及投资估算表计算以下指标:</w:t>
      </w:r>
    </w:p>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 xml:space="preserve">总投资收益率=19.3%  </w:t>
      </w:r>
    </w:p>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投资利税率＝平均利税总额/总投资X100%=19%；</w:t>
      </w:r>
    </w:p>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资本金利润率=年平均利润总额/资本金X100%=46.1%；</w:t>
      </w:r>
    </w:p>
    <w:p>
      <w:pPr>
        <w:pStyle w:val="3"/>
        <w:rPr>
          <w:color w:val="auto"/>
          <w:highlight w:val="none"/>
        </w:rPr>
      </w:pPr>
      <w:bookmarkStart w:id="121" w:name="_Toc6583"/>
      <w:bookmarkStart w:id="122" w:name="_Toc21826"/>
      <w:bookmarkStart w:id="123" w:name="_Toc316909122"/>
      <w:bookmarkStart w:id="124" w:name="_Toc171926598"/>
      <w:bookmarkStart w:id="125" w:name="_Toc314757743"/>
      <w:bookmarkStart w:id="126" w:name="_Toc188348502"/>
      <w:bookmarkStart w:id="127" w:name="_Toc233605526"/>
      <w:r>
        <w:rPr>
          <w:rFonts w:hint="eastAsia"/>
          <w:color w:val="auto"/>
          <w:highlight w:val="none"/>
        </w:rPr>
        <w:t>五.</w:t>
      </w:r>
      <w:r>
        <w:rPr>
          <w:color w:val="auto"/>
          <w:highlight w:val="none"/>
        </w:rPr>
        <w:t>财务盈利能力分析</w:t>
      </w:r>
      <w:bookmarkEnd w:id="121"/>
      <w:bookmarkEnd w:id="122"/>
      <w:bookmarkEnd w:id="123"/>
      <w:bookmarkEnd w:id="124"/>
      <w:bookmarkEnd w:id="125"/>
      <w:bookmarkEnd w:id="126"/>
      <w:bookmarkEnd w:id="127"/>
    </w:p>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计算得出以下财务评价指标:</w:t>
      </w:r>
    </w:p>
    <w:tbl>
      <w:tblPr>
        <w:tblStyle w:val="28"/>
        <w:tblW w:w="88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4"/>
        <w:gridCol w:w="2546"/>
        <w:gridCol w:w="2679"/>
        <w:gridCol w:w="22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1444" w:type="dxa"/>
          </w:tcPr>
          <w:p>
            <w:pPr>
              <w:spacing w:line="360" w:lineRule="auto"/>
              <w:jc w:val="center"/>
              <w:rPr>
                <w:rFonts w:asciiTheme="minorEastAsia" w:hAnsiTheme="minorEastAsia" w:cstheme="minorEastAsia"/>
                <w:color w:val="auto"/>
                <w:szCs w:val="21"/>
                <w:highlight w:val="none"/>
              </w:rPr>
            </w:pPr>
          </w:p>
        </w:tc>
        <w:tc>
          <w:tcPr>
            <w:tcW w:w="2546" w:type="dxa"/>
            <w:vAlign w:val="center"/>
          </w:tcPr>
          <w:p>
            <w:pPr>
              <w:spacing w:line="360" w:lineRule="auto"/>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内部收益率（%）</w:t>
            </w:r>
          </w:p>
        </w:tc>
        <w:tc>
          <w:tcPr>
            <w:tcW w:w="2679" w:type="dxa"/>
            <w:vAlign w:val="center"/>
          </w:tcPr>
          <w:p>
            <w:pPr>
              <w:spacing w:line="360" w:lineRule="auto"/>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财务净现值（万元）</w:t>
            </w:r>
          </w:p>
        </w:tc>
        <w:tc>
          <w:tcPr>
            <w:tcW w:w="2221" w:type="dxa"/>
            <w:vAlign w:val="center"/>
          </w:tcPr>
          <w:p>
            <w:pPr>
              <w:spacing w:line="360" w:lineRule="auto"/>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投资回收期（年）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44" w:type="dxa"/>
          </w:tcPr>
          <w:p>
            <w:pPr>
              <w:spacing w:line="360" w:lineRule="auto"/>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税前</w:t>
            </w:r>
          </w:p>
        </w:tc>
        <w:tc>
          <w:tcPr>
            <w:tcW w:w="2546" w:type="dxa"/>
            <w:vAlign w:val="center"/>
          </w:tcPr>
          <w:p>
            <w:pPr>
              <w:spacing w:line="360" w:lineRule="auto"/>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i=15.2</w:t>
            </w:r>
          </w:p>
        </w:tc>
        <w:tc>
          <w:tcPr>
            <w:tcW w:w="2679" w:type="dxa"/>
            <w:vAlign w:val="center"/>
          </w:tcPr>
          <w:p>
            <w:pPr>
              <w:spacing w:line="360" w:lineRule="auto"/>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NPv=4987.1</w:t>
            </w:r>
          </w:p>
        </w:tc>
        <w:tc>
          <w:tcPr>
            <w:tcW w:w="2221" w:type="dxa"/>
            <w:vAlign w:val="center"/>
          </w:tcPr>
          <w:p>
            <w:pPr>
              <w:spacing w:line="360" w:lineRule="auto"/>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Pt=8.3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44" w:type="dxa"/>
          </w:tcPr>
          <w:p>
            <w:pPr>
              <w:spacing w:line="360" w:lineRule="auto"/>
              <w:ind w:firstLine="416" w:firstLineChars="198"/>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税后</w:t>
            </w:r>
          </w:p>
        </w:tc>
        <w:tc>
          <w:tcPr>
            <w:tcW w:w="2546" w:type="dxa"/>
            <w:vAlign w:val="center"/>
          </w:tcPr>
          <w:p>
            <w:pPr>
              <w:spacing w:line="360" w:lineRule="auto"/>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i=11.5</w:t>
            </w:r>
          </w:p>
        </w:tc>
        <w:tc>
          <w:tcPr>
            <w:tcW w:w="2679" w:type="dxa"/>
            <w:vAlign w:val="center"/>
          </w:tcPr>
          <w:p>
            <w:pPr>
              <w:spacing w:line="360" w:lineRule="auto"/>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NPv=2185.8</w:t>
            </w:r>
          </w:p>
        </w:tc>
        <w:tc>
          <w:tcPr>
            <w:tcW w:w="2221" w:type="dxa"/>
            <w:vAlign w:val="center"/>
          </w:tcPr>
          <w:p>
            <w:pPr>
              <w:spacing w:line="360" w:lineRule="auto"/>
              <w:jc w:val="center"/>
              <w:rPr>
                <w:rFonts w:asciiTheme="minorEastAsia" w:hAnsiTheme="minorEastAsia" w:cstheme="minorEastAsia"/>
                <w:color w:val="auto"/>
                <w:szCs w:val="21"/>
                <w:highlight w:val="none"/>
              </w:rPr>
            </w:pPr>
            <w:r>
              <w:rPr>
                <w:rFonts w:hint="eastAsia" w:asciiTheme="minorEastAsia" w:hAnsiTheme="minorEastAsia" w:cstheme="minorEastAsia"/>
                <w:color w:val="auto"/>
                <w:szCs w:val="21"/>
                <w:highlight w:val="none"/>
              </w:rPr>
              <w:t>Pt=9.8</w:t>
            </w:r>
          </w:p>
        </w:tc>
      </w:tr>
    </w:tbl>
    <w:p>
      <w:pPr>
        <w:autoSpaceDE w:val="0"/>
        <w:autoSpaceDN w:val="0"/>
        <w:adjustRightInd w:val="0"/>
        <w:spacing w:line="360" w:lineRule="auto"/>
        <w:ind w:firstLine="560" w:firstLineChars="200"/>
        <w:jc w:val="left"/>
        <w:rPr>
          <w:rFonts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从计算指标可以看出，项目财务内部收益率大于设定的基准收益率满足本行业要求，从投资回收期看资金投入能按时回收，该项目在财务上是可行的。</w:t>
      </w:r>
    </w:p>
    <w:p>
      <w:pPr>
        <w:pStyle w:val="4"/>
        <w:rPr>
          <w:rFonts w:ascii="黑体" w:eastAsia="黑体"/>
          <w:color w:val="auto"/>
          <w:kern w:val="2"/>
          <w:sz w:val="28"/>
          <w:szCs w:val="28"/>
          <w:highlight w:val="none"/>
        </w:rPr>
      </w:pPr>
      <w:bookmarkStart w:id="128" w:name="_Toc171926601"/>
      <w:bookmarkStart w:id="129" w:name="_Toc316909125"/>
      <w:bookmarkStart w:id="130" w:name="_Toc233605529"/>
      <w:bookmarkStart w:id="131" w:name="_Toc31877"/>
      <w:bookmarkStart w:id="132" w:name="_Toc314757746"/>
      <w:r>
        <w:rPr>
          <w:rFonts w:hint="eastAsia" w:ascii="黑体" w:eastAsia="黑体"/>
          <w:color w:val="auto"/>
          <w:kern w:val="2"/>
          <w:sz w:val="28"/>
          <w:szCs w:val="28"/>
          <w:highlight w:val="none"/>
        </w:rPr>
        <w:t>六.</w:t>
      </w:r>
      <w:r>
        <w:rPr>
          <w:rFonts w:ascii="黑体" w:eastAsia="黑体"/>
          <w:color w:val="auto"/>
          <w:kern w:val="2"/>
          <w:sz w:val="28"/>
          <w:szCs w:val="28"/>
          <w:highlight w:val="none"/>
        </w:rPr>
        <w:t>经济评价汇总表</w:t>
      </w:r>
      <w:bookmarkEnd w:id="128"/>
      <w:bookmarkEnd w:id="129"/>
      <w:bookmarkEnd w:id="130"/>
      <w:bookmarkEnd w:id="131"/>
      <w:bookmarkEnd w:id="132"/>
    </w:p>
    <w:tbl>
      <w:tblPr>
        <w:tblStyle w:val="28"/>
        <w:tblW w:w="8645" w:type="dxa"/>
        <w:tblInd w:w="108" w:type="dxa"/>
        <w:tblLayout w:type="fixed"/>
        <w:tblCellMar>
          <w:top w:w="0" w:type="dxa"/>
          <w:left w:w="108" w:type="dxa"/>
          <w:bottom w:w="0" w:type="dxa"/>
          <w:right w:w="108" w:type="dxa"/>
        </w:tblCellMar>
      </w:tblPr>
      <w:tblGrid>
        <w:gridCol w:w="813"/>
        <w:gridCol w:w="4498"/>
        <w:gridCol w:w="1385"/>
        <w:gridCol w:w="1949"/>
      </w:tblGrid>
      <w:tr>
        <w:tblPrEx>
          <w:tblLayout w:type="fixed"/>
          <w:tblCellMar>
            <w:top w:w="0" w:type="dxa"/>
            <w:left w:w="108" w:type="dxa"/>
            <w:bottom w:w="0" w:type="dxa"/>
            <w:right w:w="108" w:type="dxa"/>
          </w:tblCellMar>
        </w:tblPrEx>
        <w:trPr>
          <w:trHeight w:val="300" w:hRule="atLeast"/>
        </w:trPr>
        <w:tc>
          <w:tcPr>
            <w:tcW w:w="8645" w:type="dxa"/>
            <w:gridSpan w:val="4"/>
            <w:tcBorders>
              <w:top w:val="nil"/>
              <w:left w:val="nil"/>
              <w:bottom w:val="single" w:color="auto" w:sz="8" w:space="0"/>
              <w:right w:val="nil"/>
            </w:tcBorders>
            <w:shd w:val="clear" w:color="auto" w:fill="auto"/>
            <w:vAlign w:val="center"/>
          </w:tcPr>
          <w:p>
            <w:pPr>
              <w:widowControl/>
              <w:jc w:val="lef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xml:space="preserve">                                                                                                    单位:万元人民币          </w:t>
            </w:r>
          </w:p>
        </w:tc>
      </w:tr>
      <w:tr>
        <w:tblPrEx>
          <w:tblLayout w:type="fixed"/>
          <w:tblCellMar>
            <w:top w:w="0" w:type="dxa"/>
            <w:left w:w="108" w:type="dxa"/>
            <w:bottom w:w="0" w:type="dxa"/>
            <w:right w:w="108" w:type="dxa"/>
          </w:tblCellMar>
        </w:tblPrEx>
        <w:trPr>
          <w:trHeight w:val="319" w:hRule="atLeast"/>
        </w:trPr>
        <w:tc>
          <w:tcPr>
            <w:tcW w:w="81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序号</w:t>
            </w:r>
          </w:p>
        </w:tc>
        <w:tc>
          <w:tcPr>
            <w:tcW w:w="449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指标名称</w:t>
            </w:r>
          </w:p>
        </w:tc>
        <w:tc>
          <w:tcPr>
            <w:tcW w:w="1385"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数量</w:t>
            </w:r>
          </w:p>
        </w:tc>
        <w:tc>
          <w:tcPr>
            <w:tcW w:w="1949" w:type="dxa"/>
            <w:tcBorders>
              <w:top w:val="nil"/>
              <w:left w:val="nil"/>
              <w:bottom w:val="single" w:color="auto" w:sz="4" w:space="0"/>
              <w:right w:val="single" w:color="auto" w:sz="8"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备注</w:t>
            </w:r>
          </w:p>
        </w:tc>
      </w:tr>
      <w:tr>
        <w:tblPrEx>
          <w:tblLayout w:type="fixed"/>
          <w:tblCellMar>
            <w:top w:w="0" w:type="dxa"/>
            <w:left w:w="108" w:type="dxa"/>
            <w:bottom w:w="0" w:type="dxa"/>
            <w:right w:w="108" w:type="dxa"/>
          </w:tblCellMar>
        </w:tblPrEx>
        <w:trPr>
          <w:trHeight w:val="480" w:hRule="atLeast"/>
        </w:trPr>
        <w:tc>
          <w:tcPr>
            <w:tcW w:w="81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1</w:t>
            </w:r>
          </w:p>
        </w:tc>
        <w:tc>
          <w:tcPr>
            <w:tcW w:w="449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项目总投资</w:t>
            </w:r>
          </w:p>
        </w:tc>
        <w:tc>
          <w:tcPr>
            <w:tcW w:w="1385" w:type="dxa"/>
            <w:tcBorders>
              <w:top w:val="nil"/>
              <w:left w:val="nil"/>
              <w:bottom w:val="single" w:color="auto" w:sz="4" w:space="0"/>
              <w:right w:val="single" w:color="auto" w:sz="4" w:space="0"/>
            </w:tcBorders>
            <w:shd w:val="clear" w:color="auto" w:fill="auto"/>
            <w:vAlign w:val="center"/>
          </w:tcPr>
          <w:p>
            <w:pPr>
              <w:widowControl/>
              <w:jc w:val="righ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7964.6</w:t>
            </w:r>
          </w:p>
        </w:tc>
        <w:tc>
          <w:tcPr>
            <w:tcW w:w="1949" w:type="dxa"/>
            <w:tcBorders>
              <w:top w:val="nil"/>
              <w:left w:val="nil"/>
              <w:bottom w:val="single" w:color="auto" w:sz="4" w:space="0"/>
              <w:right w:val="single" w:color="auto" w:sz="8"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r>
      <w:tr>
        <w:tblPrEx>
          <w:tblLayout w:type="fixed"/>
          <w:tblCellMar>
            <w:top w:w="0" w:type="dxa"/>
            <w:left w:w="108" w:type="dxa"/>
            <w:bottom w:w="0" w:type="dxa"/>
            <w:right w:w="108" w:type="dxa"/>
          </w:tblCellMar>
        </w:tblPrEx>
        <w:trPr>
          <w:trHeight w:val="319" w:hRule="atLeast"/>
        </w:trPr>
        <w:tc>
          <w:tcPr>
            <w:tcW w:w="81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1.1</w:t>
            </w:r>
          </w:p>
        </w:tc>
        <w:tc>
          <w:tcPr>
            <w:tcW w:w="449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建设投资</w:t>
            </w:r>
          </w:p>
        </w:tc>
        <w:tc>
          <w:tcPr>
            <w:tcW w:w="1385" w:type="dxa"/>
            <w:tcBorders>
              <w:top w:val="nil"/>
              <w:left w:val="nil"/>
              <w:bottom w:val="single" w:color="auto" w:sz="4" w:space="0"/>
              <w:right w:val="single" w:color="auto" w:sz="4" w:space="0"/>
            </w:tcBorders>
            <w:shd w:val="clear" w:color="auto" w:fill="auto"/>
            <w:vAlign w:val="center"/>
          </w:tcPr>
          <w:p>
            <w:pPr>
              <w:widowControl/>
              <w:jc w:val="righ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7682.3</w:t>
            </w:r>
          </w:p>
        </w:tc>
        <w:tc>
          <w:tcPr>
            <w:tcW w:w="1949" w:type="dxa"/>
            <w:tcBorders>
              <w:top w:val="nil"/>
              <w:left w:val="nil"/>
              <w:bottom w:val="single" w:color="auto" w:sz="4" w:space="0"/>
              <w:right w:val="single" w:color="auto" w:sz="8"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r>
      <w:tr>
        <w:tblPrEx>
          <w:tblLayout w:type="fixed"/>
          <w:tblCellMar>
            <w:top w:w="0" w:type="dxa"/>
            <w:left w:w="108" w:type="dxa"/>
            <w:bottom w:w="0" w:type="dxa"/>
            <w:right w:w="108" w:type="dxa"/>
          </w:tblCellMar>
        </w:tblPrEx>
        <w:trPr>
          <w:trHeight w:val="319" w:hRule="atLeast"/>
        </w:trPr>
        <w:tc>
          <w:tcPr>
            <w:tcW w:w="81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1.1.1</w:t>
            </w:r>
          </w:p>
        </w:tc>
        <w:tc>
          <w:tcPr>
            <w:tcW w:w="449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固定资产投资</w:t>
            </w:r>
          </w:p>
        </w:tc>
        <w:tc>
          <w:tcPr>
            <w:tcW w:w="1385" w:type="dxa"/>
            <w:tcBorders>
              <w:top w:val="nil"/>
              <w:left w:val="nil"/>
              <w:bottom w:val="single" w:color="auto" w:sz="4" w:space="0"/>
              <w:right w:val="single" w:color="auto" w:sz="4" w:space="0"/>
            </w:tcBorders>
            <w:shd w:val="clear" w:color="auto" w:fill="auto"/>
            <w:vAlign w:val="center"/>
          </w:tcPr>
          <w:p>
            <w:pPr>
              <w:widowControl/>
              <w:jc w:val="righ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7610.9</w:t>
            </w:r>
          </w:p>
        </w:tc>
        <w:tc>
          <w:tcPr>
            <w:tcW w:w="1949" w:type="dxa"/>
            <w:tcBorders>
              <w:top w:val="nil"/>
              <w:left w:val="nil"/>
              <w:bottom w:val="single" w:color="auto" w:sz="4" w:space="0"/>
              <w:right w:val="single" w:color="auto" w:sz="8"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r>
      <w:tr>
        <w:tblPrEx>
          <w:tblLayout w:type="fixed"/>
          <w:tblCellMar>
            <w:top w:w="0" w:type="dxa"/>
            <w:left w:w="108" w:type="dxa"/>
            <w:bottom w:w="0" w:type="dxa"/>
            <w:right w:w="108" w:type="dxa"/>
          </w:tblCellMar>
        </w:tblPrEx>
        <w:trPr>
          <w:trHeight w:val="319" w:hRule="atLeast"/>
        </w:trPr>
        <w:tc>
          <w:tcPr>
            <w:tcW w:w="81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1.1.2</w:t>
            </w:r>
          </w:p>
        </w:tc>
        <w:tc>
          <w:tcPr>
            <w:tcW w:w="449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投资方向调节税</w:t>
            </w:r>
          </w:p>
        </w:tc>
        <w:tc>
          <w:tcPr>
            <w:tcW w:w="1385" w:type="dxa"/>
            <w:tcBorders>
              <w:top w:val="nil"/>
              <w:left w:val="nil"/>
              <w:bottom w:val="single" w:color="auto" w:sz="4" w:space="0"/>
              <w:right w:val="single" w:color="auto" w:sz="4" w:space="0"/>
            </w:tcBorders>
            <w:shd w:val="clear" w:color="auto" w:fill="auto"/>
            <w:vAlign w:val="center"/>
          </w:tcPr>
          <w:p>
            <w:pPr>
              <w:widowControl/>
              <w:jc w:val="righ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c>
          <w:tcPr>
            <w:tcW w:w="1949" w:type="dxa"/>
            <w:tcBorders>
              <w:top w:val="nil"/>
              <w:left w:val="nil"/>
              <w:bottom w:val="single" w:color="auto" w:sz="4" w:space="0"/>
              <w:right w:val="single" w:color="auto" w:sz="8"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r>
      <w:tr>
        <w:tblPrEx>
          <w:tblLayout w:type="fixed"/>
          <w:tblCellMar>
            <w:top w:w="0" w:type="dxa"/>
            <w:left w:w="108" w:type="dxa"/>
            <w:bottom w:w="0" w:type="dxa"/>
            <w:right w:w="108" w:type="dxa"/>
          </w:tblCellMar>
        </w:tblPrEx>
        <w:trPr>
          <w:trHeight w:val="319" w:hRule="atLeast"/>
        </w:trPr>
        <w:tc>
          <w:tcPr>
            <w:tcW w:w="81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1.1.3</w:t>
            </w:r>
          </w:p>
        </w:tc>
        <w:tc>
          <w:tcPr>
            <w:tcW w:w="449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建设期利息</w:t>
            </w:r>
          </w:p>
        </w:tc>
        <w:tc>
          <w:tcPr>
            <w:tcW w:w="1385" w:type="dxa"/>
            <w:tcBorders>
              <w:top w:val="nil"/>
              <w:left w:val="nil"/>
              <w:bottom w:val="single" w:color="auto" w:sz="4" w:space="0"/>
              <w:right w:val="single" w:color="auto" w:sz="4" w:space="0"/>
            </w:tcBorders>
            <w:shd w:val="clear" w:color="auto" w:fill="auto"/>
            <w:vAlign w:val="center"/>
          </w:tcPr>
          <w:p>
            <w:pPr>
              <w:widowControl/>
              <w:jc w:val="righ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71.4</w:t>
            </w:r>
          </w:p>
        </w:tc>
        <w:tc>
          <w:tcPr>
            <w:tcW w:w="1949" w:type="dxa"/>
            <w:tcBorders>
              <w:top w:val="nil"/>
              <w:left w:val="nil"/>
              <w:bottom w:val="single" w:color="auto" w:sz="4" w:space="0"/>
              <w:right w:val="single" w:color="auto" w:sz="8"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r>
      <w:tr>
        <w:tblPrEx>
          <w:tblLayout w:type="fixed"/>
          <w:tblCellMar>
            <w:top w:w="0" w:type="dxa"/>
            <w:left w:w="108" w:type="dxa"/>
            <w:bottom w:w="0" w:type="dxa"/>
            <w:right w:w="108" w:type="dxa"/>
          </w:tblCellMar>
        </w:tblPrEx>
        <w:trPr>
          <w:trHeight w:val="319" w:hRule="atLeast"/>
        </w:trPr>
        <w:tc>
          <w:tcPr>
            <w:tcW w:w="81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1.2</w:t>
            </w:r>
          </w:p>
        </w:tc>
        <w:tc>
          <w:tcPr>
            <w:tcW w:w="449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流动资金</w:t>
            </w:r>
          </w:p>
        </w:tc>
        <w:tc>
          <w:tcPr>
            <w:tcW w:w="1385" w:type="dxa"/>
            <w:tcBorders>
              <w:top w:val="nil"/>
              <w:left w:val="nil"/>
              <w:bottom w:val="single" w:color="auto" w:sz="4" w:space="0"/>
              <w:right w:val="single" w:color="auto" w:sz="4" w:space="0"/>
            </w:tcBorders>
            <w:shd w:val="clear" w:color="auto" w:fill="auto"/>
            <w:vAlign w:val="center"/>
          </w:tcPr>
          <w:p>
            <w:pPr>
              <w:widowControl/>
              <w:jc w:val="righ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282.3</w:t>
            </w:r>
          </w:p>
        </w:tc>
        <w:tc>
          <w:tcPr>
            <w:tcW w:w="1949" w:type="dxa"/>
            <w:tcBorders>
              <w:top w:val="nil"/>
              <w:left w:val="nil"/>
              <w:bottom w:val="single" w:color="auto" w:sz="4" w:space="0"/>
              <w:right w:val="single" w:color="auto" w:sz="8"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r>
      <w:tr>
        <w:tblPrEx>
          <w:tblLayout w:type="fixed"/>
          <w:tblCellMar>
            <w:top w:w="0" w:type="dxa"/>
            <w:left w:w="108" w:type="dxa"/>
            <w:bottom w:w="0" w:type="dxa"/>
            <w:right w:w="108" w:type="dxa"/>
          </w:tblCellMar>
        </w:tblPrEx>
        <w:trPr>
          <w:trHeight w:val="319" w:hRule="atLeast"/>
        </w:trPr>
        <w:tc>
          <w:tcPr>
            <w:tcW w:w="81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2</w:t>
            </w:r>
          </w:p>
        </w:tc>
        <w:tc>
          <w:tcPr>
            <w:tcW w:w="449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资金筹措</w:t>
            </w:r>
          </w:p>
        </w:tc>
        <w:tc>
          <w:tcPr>
            <w:tcW w:w="1385" w:type="dxa"/>
            <w:tcBorders>
              <w:top w:val="nil"/>
              <w:left w:val="nil"/>
              <w:bottom w:val="single" w:color="auto" w:sz="4" w:space="0"/>
              <w:right w:val="single" w:color="auto" w:sz="4" w:space="0"/>
            </w:tcBorders>
            <w:shd w:val="clear" w:color="auto" w:fill="auto"/>
            <w:vAlign w:val="center"/>
          </w:tcPr>
          <w:p>
            <w:pPr>
              <w:widowControl/>
              <w:jc w:val="righ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7964.6</w:t>
            </w:r>
          </w:p>
        </w:tc>
        <w:tc>
          <w:tcPr>
            <w:tcW w:w="1949" w:type="dxa"/>
            <w:tcBorders>
              <w:top w:val="nil"/>
              <w:left w:val="nil"/>
              <w:bottom w:val="single" w:color="auto" w:sz="4" w:space="0"/>
              <w:right w:val="single" w:color="auto" w:sz="8"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r>
      <w:tr>
        <w:tblPrEx>
          <w:tblLayout w:type="fixed"/>
          <w:tblCellMar>
            <w:top w:w="0" w:type="dxa"/>
            <w:left w:w="108" w:type="dxa"/>
            <w:bottom w:w="0" w:type="dxa"/>
            <w:right w:w="108" w:type="dxa"/>
          </w:tblCellMar>
        </w:tblPrEx>
        <w:trPr>
          <w:trHeight w:val="319" w:hRule="atLeast"/>
        </w:trPr>
        <w:tc>
          <w:tcPr>
            <w:tcW w:w="81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2.1</w:t>
            </w:r>
          </w:p>
        </w:tc>
        <w:tc>
          <w:tcPr>
            <w:tcW w:w="449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建设资金</w:t>
            </w:r>
          </w:p>
        </w:tc>
        <w:tc>
          <w:tcPr>
            <w:tcW w:w="1385" w:type="dxa"/>
            <w:tcBorders>
              <w:top w:val="nil"/>
              <w:left w:val="nil"/>
              <w:bottom w:val="single" w:color="auto" w:sz="4" w:space="0"/>
              <w:right w:val="single" w:color="auto" w:sz="4" w:space="0"/>
            </w:tcBorders>
            <w:shd w:val="clear" w:color="auto" w:fill="auto"/>
            <w:vAlign w:val="center"/>
          </w:tcPr>
          <w:p>
            <w:pPr>
              <w:widowControl/>
              <w:jc w:val="righ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7682.3</w:t>
            </w:r>
          </w:p>
        </w:tc>
        <w:tc>
          <w:tcPr>
            <w:tcW w:w="1949" w:type="dxa"/>
            <w:tcBorders>
              <w:top w:val="nil"/>
              <w:left w:val="nil"/>
              <w:bottom w:val="single" w:color="auto" w:sz="4" w:space="0"/>
              <w:right w:val="single" w:color="auto" w:sz="8"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r>
      <w:tr>
        <w:tblPrEx>
          <w:tblLayout w:type="fixed"/>
          <w:tblCellMar>
            <w:top w:w="0" w:type="dxa"/>
            <w:left w:w="108" w:type="dxa"/>
            <w:bottom w:w="0" w:type="dxa"/>
            <w:right w:w="108" w:type="dxa"/>
          </w:tblCellMar>
        </w:tblPrEx>
        <w:trPr>
          <w:trHeight w:val="319" w:hRule="atLeast"/>
        </w:trPr>
        <w:tc>
          <w:tcPr>
            <w:tcW w:w="81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2.1.1</w:t>
            </w:r>
          </w:p>
        </w:tc>
        <w:tc>
          <w:tcPr>
            <w:tcW w:w="449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资本金(自有资金 )</w:t>
            </w:r>
          </w:p>
        </w:tc>
        <w:tc>
          <w:tcPr>
            <w:tcW w:w="1385" w:type="dxa"/>
            <w:tcBorders>
              <w:top w:val="nil"/>
              <w:left w:val="nil"/>
              <w:bottom w:val="single" w:color="auto" w:sz="4" w:space="0"/>
              <w:right w:val="single" w:color="auto" w:sz="4" w:space="0"/>
            </w:tcBorders>
            <w:shd w:val="clear" w:color="auto" w:fill="auto"/>
            <w:vAlign w:val="center"/>
          </w:tcPr>
          <w:p>
            <w:pPr>
              <w:widowControl/>
              <w:jc w:val="righ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2386.8</w:t>
            </w:r>
          </w:p>
        </w:tc>
        <w:tc>
          <w:tcPr>
            <w:tcW w:w="1949" w:type="dxa"/>
            <w:tcBorders>
              <w:top w:val="nil"/>
              <w:left w:val="nil"/>
              <w:bottom w:val="single" w:color="auto" w:sz="4" w:space="0"/>
              <w:right w:val="single" w:color="auto" w:sz="8"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r>
      <w:tr>
        <w:tblPrEx>
          <w:tblLayout w:type="fixed"/>
          <w:tblCellMar>
            <w:top w:w="0" w:type="dxa"/>
            <w:left w:w="108" w:type="dxa"/>
            <w:bottom w:w="0" w:type="dxa"/>
            <w:right w:w="108" w:type="dxa"/>
          </w:tblCellMar>
        </w:tblPrEx>
        <w:trPr>
          <w:trHeight w:val="319" w:hRule="atLeast"/>
        </w:trPr>
        <w:tc>
          <w:tcPr>
            <w:tcW w:w="81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2.1.2</w:t>
            </w:r>
          </w:p>
        </w:tc>
        <w:tc>
          <w:tcPr>
            <w:tcW w:w="449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长期借款</w:t>
            </w:r>
          </w:p>
        </w:tc>
        <w:tc>
          <w:tcPr>
            <w:tcW w:w="1385" w:type="dxa"/>
            <w:tcBorders>
              <w:top w:val="nil"/>
              <w:left w:val="nil"/>
              <w:bottom w:val="single" w:color="auto" w:sz="4" w:space="0"/>
              <w:right w:val="single" w:color="auto" w:sz="4" w:space="0"/>
            </w:tcBorders>
            <w:shd w:val="clear" w:color="auto" w:fill="auto"/>
            <w:vAlign w:val="center"/>
          </w:tcPr>
          <w:p>
            <w:pPr>
              <w:widowControl/>
              <w:jc w:val="righ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5295.5</w:t>
            </w:r>
          </w:p>
        </w:tc>
        <w:tc>
          <w:tcPr>
            <w:tcW w:w="1949" w:type="dxa"/>
            <w:tcBorders>
              <w:top w:val="nil"/>
              <w:left w:val="nil"/>
              <w:bottom w:val="single" w:color="auto" w:sz="4" w:space="0"/>
              <w:right w:val="single" w:color="auto" w:sz="8"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r>
      <w:tr>
        <w:tblPrEx>
          <w:tblLayout w:type="fixed"/>
          <w:tblCellMar>
            <w:top w:w="0" w:type="dxa"/>
            <w:left w:w="108" w:type="dxa"/>
            <w:bottom w:w="0" w:type="dxa"/>
            <w:right w:w="108" w:type="dxa"/>
          </w:tblCellMar>
        </w:tblPrEx>
        <w:trPr>
          <w:trHeight w:val="319" w:hRule="atLeast"/>
        </w:trPr>
        <w:tc>
          <w:tcPr>
            <w:tcW w:w="81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2.1.3</w:t>
            </w:r>
          </w:p>
        </w:tc>
        <w:tc>
          <w:tcPr>
            <w:tcW w:w="449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其他短期借款</w:t>
            </w:r>
          </w:p>
        </w:tc>
        <w:tc>
          <w:tcPr>
            <w:tcW w:w="1385" w:type="dxa"/>
            <w:tcBorders>
              <w:top w:val="nil"/>
              <w:left w:val="nil"/>
              <w:bottom w:val="single" w:color="auto" w:sz="4" w:space="0"/>
              <w:right w:val="single" w:color="auto" w:sz="4" w:space="0"/>
            </w:tcBorders>
            <w:shd w:val="clear" w:color="auto" w:fill="auto"/>
            <w:vAlign w:val="center"/>
          </w:tcPr>
          <w:p>
            <w:pPr>
              <w:widowControl/>
              <w:jc w:val="righ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c>
          <w:tcPr>
            <w:tcW w:w="1949" w:type="dxa"/>
            <w:tcBorders>
              <w:top w:val="nil"/>
              <w:left w:val="nil"/>
              <w:bottom w:val="single" w:color="auto" w:sz="4" w:space="0"/>
              <w:right w:val="single" w:color="auto" w:sz="8"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r>
      <w:tr>
        <w:tblPrEx>
          <w:tblLayout w:type="fixed"/>
          <w:tblCellMar>
            <w:top w:w="0" w:type="dxa"/>
            <w:left w:w="108" w:type="dxa"/>
            <w:bottom w:w="0" w:type="dxa"/>
            <w:right w:w="108" w:type="dxa"/>
          </w:tblCellMar>
        </w:tblPrEx>
        <w:trPr>
          <w:trHeight w:val="319" w:hRule="atLeast"/>
        </w:trPr>
        <w:tc>
          <w:tcPr>
            <w:tcW w:w="81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2.1.4</w:t>
            </w:r>
          </w:p>
        </w:tc>
        <w:tc>
          <w:tcPr>
            <w:tcW w:w="449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其他</w:t>
            </w:r>
          </w:p>
        </w:tc>
        <w:tc>
          <w:tcPr>
            <w:tcW w:w="1385" w:type="dxa"/>
            <w:tcBorders>
              <w:top w:val="nil"/>
              <w:left w:val="nil"/>
              <w:bottom w:val="single" w:color="auto" w:sz="4" w:space="0"/>
              <w:right w:val="single" w:color="auto" w:sz="4" w:space="0"/>
            </w:tcBorders>
            <w:shd w:val="clear" w:color="auto" w:fill="auto"/>
            <w:vAlign w:val="center"/>
          </w:tcPr>
          <w:p>
            <w:pPr>
              <w:widowControl/>
              <w:jc w:val="righ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c>
          <w:tcPr>
            <w:tcW w:w="1949" w:type="dxa"/>
            <w:tcBorders>
              <w:top w:val="nil"/>
              <w:left w:val="nil"/>
              <w:bottom w:val="single" w:color="auto" w:sz="4" w:space="0"/>
              <w:right w:val="single" w:color="auto" w:sz="8"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r>
      <w:tr>
        <w:tblPrEx>
          <w:tblLayout w:type="fixed"/>
          <w:tblCellMar>
            <w:top w:w="0" w:type="dxa"/>
            <w:left w:w="108" w:type="dxa"/>
            <w:bottom w:w="0" w:type="dxa"/>
            <w:right w:w="108" w:type="dxa"/>
          </w:tblCellMar>
        </w:tblPrEx>
        <w:trPr>
          <w:trHeight w:val="319" w:hRule="atLeast"/>
        </w:trPr>
        <w:tc>
          <w:tcPr>
            <w:tcW w:w="81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2.2</w:t>
            </w:r>
          </w:p>
        </w:tc>
        <w:tc>
          <w:tcPr>
            <w:tcW w:w="449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流动资金</w:t>
            </w:r>
          </w:p>
        </w:tc>
        <w:tc>
          <w:tcPr>
            <w:tcW w:w="1385" w:type="dxa"/>
            <w:tcBorders>
              <w:top w:val="nil"/>
              <w:left w:val="nil"/>
              <w:bottom w:val="single" w:color="auto" w:sz="4" w:space="0"/>
              <w:right w:val="single" w:color="auto" w:sz="4" w:space="0"/>
            </w:tcBorders>
            <w:shd w:val="clear" w:color="auto" w:fill="auto"/>
            <w:vAlign w:val="center"/>
          </w:tcPr>
          <w:p>
            <w:pPr>
              <w:widowControl/>
              <w:jc w:val="righ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282.3</w:t>
            </w:r>
          </w:p>
        </w:tc>
        <w:tc>
          <w:tcPr>
            <w:tcW w:w="1949" w:type="dxa"/>
            <w:tcBorders>
              <w:top w:val="nil"/>
              <w:left w:val="nil"/>
              <w:bottom w:val="single" w:color="auto" w:sz="4" w:space="0"/>
              <w:right w:val="single" w:color="auto" w:sz="8"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r>
      <w:tr>
        <w:tblPrEx>
          <w:tblLayout w:type="fixed"/>
          <w:tblCellMar>
            <w:top w:w="0" w:type="dxa"/>
            <w:left w:w="108" w:type="dxa"/>
            <w:bottom w:w="0" w:type="dxa"/>
            <w:right w:w="108" w:type="dxa"/>
          </w:tblCellMar>
        </w:tblPrEx>
        <w:trPr>
          <w:trHeight w:val="319" w:hRule="atLeast"/>
        </w:trPr>
        <w:tc>
          <w:tcPr>
            <w:tcW w:w="81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2.2.1</w:t>
            </w:r>
          </w:p>
        </w:tc>
        <w:tc>
          <w:tcPr>
            <w:tcW w:w="449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自有流动资金</w:t>
            </w:r>
          </w:p>
        </w:tc>
        <w:tc>
          <w:tcPr>
            <w:tcW w:w="1385" w:type="dxa"/>
            <w:tcBorders>
              <w:top w:val="nil"/>
              <w:left w:val="nil"/>
              <w:bottom w:val="single" w:color="auto" w:sz="4" w:space="0"/>
              <w:right w:val="single" w:color="auto" w:sz="4" w:space="0"/>
            </w:tcBorders>
            <w:shd w:val="clear" w:color="auto" w:fill="auto"/>
            <w:vAlign w:val="center"/>
          </w:tcPr>
          <w:p>
            <w:pPr>
              <w:widowControl/>
              <w:jc w:val="righ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84.7</w:t>
            </w:r>
          </w:p>
        </w:tc>
        <w:tc>
          <w:tcPr>
            <w:tcW w:w="1949" w:type="dxa"/>
            <w:tcBorders>
              <w:top w:val="nil"/>
              <w:left w:val="nil"/>
              <w:bottom w:val="single" w:color="auto" w:sz="4" w:space="0"/>
              <w:right w:val="single" w:color="auto" w:sz="8"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r>
      <w:tr>
        <w:tblPrEx>
          <w:tblLayout w:type="fixed"/>
          <w:tblCellMar>
            <w:top w:w="0" w:type="dxa"/>
            <w:left w:w="108" w:type="dxa"/>
            <w:bottom w:w="0" w:type="dxa"/>
            <w:right w:w="108" w:type="dxa"/>
          </w:tblCellMar>
        </w:tblPrEx>
        <w:trPr>
          <w:trHeight w:val="319" w:hRule="atLeast"/>
        </w:trPr>
        <w:tc>
          <w:tcPr>
            <w:tcW w:w="81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2.2.2</w:t>
            </w:r>
          </w:p>
        </w:tc>
        <w:tc>
          <w:tcPr>
            <w:tcW w:w="449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流动资金借款</w:t>
            </w:r>
          </w:p>
        </w:tc>
        <w:tc>
          <w:tcPr>
            <w:tcW w:w="1385" w:type="dxa"/>
            <w:tcBorders>
              <w:top w:val="nil"/>
              <w:left w:val="nil"/>
              <w:bottom w:val="single" w:color="auto" w:sz="4" w:space="0"/>
              <w:right w:val="single" w:color="auto" w:sz="4" w:space="0"/>
            </w:tcBorders>
            <w:shd w:val="clear" w:color="auto" w:fill="auto"/>
            <w:vAlign w:val="center"/>
          </w:tcPr>
          <w:p>
            <w:pPr>
              <w:widowControl/>
              <w:jc w:val="righ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197.6</w:t>
            </w:r>
          </w:p>
        </w:tc>
        <w:tc>
          <w:tcPr>
            <w:tcW w:w="1949" w:type="dxa"/>
            <w:tcBorders>
              <w:top w:val="nil"/>
              <w:left w:val="nil"/>
              <w:bottom w:val="single" w:color="auto" w:sz="4" w:space="0"/>
              <w:right w:val="single" w:color="auto" w:sz="8"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r>
      <w:tr>
        <w:tblPrEx>
          <w:tblLayout w:type="fixed"/>
          <w:tblCellMar>
            <w:top w:w="0" w:type="dxa"/>
            <w:left w:w="108" w:type="dxa"/>
            <w:bottom w:w="0" w:type="dxa"/>
            <w:right w:w="108" w:type="dxa"/>
          </w:tblCellMar>
        </w:tblPrEx>
        <w:trPr>
          <w:trHeight w:val="319" w:hRule="atLeast"/>
        </w:trPr>
        <w:tc>
          <w:tcPr>
            <w:tcW w:w="81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3</w:t>
            </w:r>
          </w:p>
        </w:tc>
        <w:tc>
          <w:tcPr>
            <w:tcW w:w="449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年平均销售收入</w:t>
            </w:r>
          </w:p>
        </w:tc>
        <w:tc>
          <w:tcPr>
            <w:tcW w:w="1385" w:type="dxa"/>
            <w:tcBorders>
              <w:top w:val="nil"/>
              <w:left w:val="nil"/>
              <w:bottom w:val="single" w:color="auto" w:sz="4" w:space="0"/>
              <w:right w:val="single" w:color="auto" w:sz="4" w:space="0"/>
            </w:tcBorders>
            <w:shd w:val="clear" w:color="auto" w:fill="auto"/>
            <w:vAlign w:val="center"/>
          </w:tcPr>
          <w:p>
            <w:pPr>
              <w:widowControl/>
              <w:jc w:val="righ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12529.1</w:t>
            </w:r>
          </w:p>
        </w:tc>
        <w:tc>
          <w:tcPr>
            <w:tcW w:w="1949" w:type="dxa"/>
            <w:tcBorders>
              <w:top w:val="nil"/>
              <w:left w:val="nil"/>
              <w:bottom w:val="single" w:color="auto" w:sz="4" w:space="0"/>
              <w:right w:val="single" w:color="auto" w:sz="8"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r>
      <w:tr>
        <w:tblPrEx>
          <w:tblLayout w:type="fixed"/>
          <w:tblCellMar>
            <w:top w:w="0" w:type="dxa"/>
            <w:left w:w="108" w:type="dxa"/>
            <w:bottom w:w="0" w:type="dxa"/>
            <w:right w:w="108" w:type="dxa"/>
          </w:tblCellMar>
        </w:tblPrEx>
        <w:trPr>
          <w:trHeight w:val="319" w:hRule="atLeast"/>
        </w:trPr>
        <w:tc>
          <w:tcPr>
            <w:tcW w:w="81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4</w:t>
            </w:r>
          </w:p>
        </w:tc>
        <w:tc>
          <w:tcPr>
            <w:tcW w:w="449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年平均总成本费用</w:t>
            </w:r>
          </w:p>
        </w:tc>
        <w:tc>
          <w:tcPr>
            <w:tcW w:w="1385" w:type="dxa"/>
            <w:tcBorders>
              <w:top w:val="nil"/>
              <w:left w:val="nil"/>
              <w:bottom w:val="single" w:color="auto" w:sz="4" w:space="0"/>
              <w:right w:val="single" w:color="auto" w:sz="4" w:space="0"/>
            </w:tcBorders>
            <w:shd w:val="clear" w:color="auto" w:fill="auto"/>
            <w:vAlign w:val="center"/>
          </w:tcPr>
          <w:p>
            <w:pPr>
              <w:widowControl/>
              <w:jc w:val="righ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11012.9</w:t>
            </w:r>
          </w:p>
        </w:tc>
        <w:tc>
          <w:tcPr>
            <w:tcW w:w="1949" w:type="dxa"/>
            <w:tcBorders>
              <w:top w:val="nil"/>
              <w:left w:val="nil"/>
              <w:bottom w:val="single" w:color="auto" w:sz="4" w:space="0"/>
              <w:right w:val="single" w:color="auto" w:sz="8"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r>
      <w:tr>
        <w:tblPrEx>
          <w:tblLayout w:type="fixed"/>
          <w:tblCellMar>
            <w:top w:w="0" w:type="dxa"/>
            <w:left w:w="108" w:type="dxa"/>
            <w:bottom w:w="0" w:type="dxa"/>
            <w:right w:w="108" w:type="dxa"/>
          </w:tblCellMar>
        </w:tblPrEx>
        <w:trPr>
          <w:trHeight w:val="319" w:hRule="atLeast"/>
        </w:trPr>
        <w:tc>
          <w:tcPr>
            <w:tcW w:w="81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5</w:t>
            </w:r>
          </w:p>
        </w:tc>
        <w:tc>
          <w:tcPr>
            <w:tcW w:w="449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年平均营业税金及附加</w:t>
            </w:r>
          </w:p>
        </w:tc>
        <w:tc>
          <w:tcPr>
            <w:tcW w:w="1385" w:type="dxa"/>
            <w:tcBorders>
              <w:top w:val="nil"/>
              <w:left w:val="nil"/>
              <w:bottom w:val="single" w:color="auto" w:sz="4" w:space="0"/>
              <w:right w:val="single" w:color="auto" w:sz="4" w:space="0"/>
            </w:tcBorders>
            <w:shd w:val="clear" w:color="auto" w:fill="auto"/>
            <w:vAlign w:val="center"/>
          </w:tcPr>
          <w:p>
            <w:pPr>
              <w:widowControl/>
              <w:jc w:val="righ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47.5</w:t>
            </w:r>
          </w:p>
        </w:tc>
        <w:tc>
          <w:tcPr>
            <w:tcW w:w="1949" w:type="dxa"/>
            <w:tcBorders>
              <w:top w:val="nil"/>
              <w:left w:val="nil"/>
              <w:bottom w:val="single" w:color="auto" w:sz="4" w:space="0"/>
              <w:right w:val="single" w:color="auto" w:sz="8"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r>
      <w:tr>
        <w:tblPrEx>
          <w:tblLayout w:type="fixed"/>
          <w:tblCellMar>
            <w:top w:w="0" w:type="dxa"/>
            <w:left w:w="108" w:type="dxa"/>
            <w:bottom w:w="0" w:type="dxa"/>
            <w:right w:w="108" w:type="dxa"/>
          </w:tblCellMar>
        </w:tblPrEx>
        <w:trPr>
          <w:trHeight w:val="319" w:hRule="atLeast"/>
        </w:trPr>
        <w:tc>
          <w:tcPr>
            <w:tcW w:w="81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6</w:t>
            </w:r>
          </w:p>
        </w:tc>
        <w:tc>
          <w:tcPr>
            <w:tcW w:w="449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增值税</w:t>
            </w:r>
          </w:p>
        </w:tc>
        <w:tc>
          <w:tcPr>
            <w:tcW w:w="1385" w:type="dxa"/>
            <w:tcBorders>
              <w:top w:val="nil"/>
              <w:left w:val="nil"/>
              <w:bottom w:val="single" w:color="auto" w:sz="4" w:space="0"/>
              <w:right w:val="single" w:color="auto" w:sz="4" w:space="0"/>
            </w:tcBorders>
            <w:shd w:val="clear" w:color="auto" w:fill="auto"/>
            <w:vAlign w:val="center"/>
          </w:tcPr>
          <w:p>
            <w:pPr>
              <w:widowControl/>
              <w:jc w:val="righ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395.8</w:t>
            </w:r>
          </w:p>
        </w:tc>
        <w:tc>
          <w:tcPr>
            <w:tcW w:w="1949" w:type="dxa"/>
            <w:tcBorders>
              <w:top w:val="nil"/>
              <w:left w:val="nil"/>
              <w:bottom w:val="single" w:color="auto" w:sz="4" w:space="0"/>
              <w:right w:val="single" w:color="auto" w:sz="8"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r>
      <w:tr>
        <w:tblPrEx>
          <w:tblLayout w:type="fixed"/>
          <w:tblCellMar>
            <w:top w:w="0" w:type="dxa"/>
            <w:left w:w="108" w:type="dxa"/>
            <w:bottom w:w="0" w:type="dxa"/>
            <w:right w:w="108" w:type="dxa"/>
          </w:tblCellMar>
        </w:tblPrEx>
        <w:trPr>
          <w:trHeight w:val="319" w:hRule="atLeast"/>
        </w:trPr>
        <w:tc>
          <w:tcPr>
            <w:tcW w:w="81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7</w:t>
            </w:r>
          </w:p>
        </w:tc>
        <w:tc>
          <w:tcPr>
            <w:tcW w:w="449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年平均利润总额</w:t>
            </w:r>
          </w:p>
        </w:tc>
        <w:tc>
          <w:tcPr>
            <w:tcW w:w="1385" w:type="dxa"/>
            <w:tcBorders>
              <w:top w:val="nil"/>
              <w:left w:val="nil"/>
              <w:bottom w:val="single" w:color="auto" w:sz="4" w:space="0"/>
              <w:right w:val="single" w:color="auto" w:sz="4" w:space="0"/>
            </w:tcBorders>
            <w:shd w:val="clear" w:color="auto" w:fill="auto"/>
            <w:vAlign w:val="center"/>
          </w:tcPr>
          <w:p>
            <w:pPr>
              <w:widowControl/>
              <w:jc w:val="righ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1468.7</w:t>
            </w:r>
          </w:p>
        </w:tc>
        <w:tc>
          <w:tcPr>
            <w:tcW w:w="1949" w:type="dxa"/>
            <w:tcBorders>
              <w:top w:val="nil"/>
              <w:left w:val="nil"/>
              <w:bottom w:val="single" w:color="auto" w:sz="4" w:space="0"/>
              <w:right w:val="single" w:color="auto" w:sz="8"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r>
      <w:tr>
        <w:tblPrEx>
          <w:tblLayout w:type="fixed"/>
          <w:tblCellMar>
            <w:top w:w="0" w:type="dxa"/>
            <w:left w:w="108" w:type="dxa"/>
            <w:bottom w:w="0" w:type="dxa"/>
            <w:right w:w="108" w:type="dxa"/>
          </w:tblCellMar>
        </w:tblPrEx>
        <w:trPr>
          <w:trHeight w:val="319" w:hRule="atLeast"/>
        </w:trPr>
        <w:tc>
          <w:tcPr>
            <w:tcW w:w="81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8</w:t>
            </w:r>
          </w:p>
        </w:tc>
        <w:tc>
          <w:tcPr>
            <w:tcW w:w="449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年平均所得税</w:t>
            </w:r>
          </w:p>
        </w:tc>
        <w:tc>
          <w:tcPr>
            <w:tcW w:w="1385" w:type="dxa"/>
            <w:tcBorders>
              <w:top w:val="nil"/>
              <w:left w:val="nil"/>
              <w:bottom w:val="single" w:color="auto" w:sz="4" w:space="0"/>
              <w:right w:val="single" w:color="auto" w:sz="4" w:space="0"/>
            </w:tcBorders>
            <w:shd w:val="clear" w:color="auto" w:fill="auto"/>
            <w:vAlign w:val="center"/>
          </w:tcPr>
          <w:p>
            <w:pPr>
              <w:widowControl/>
              <w:jc w:val="righ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367.2</w:t>
            </w:r>
          </w:p>
        </w:tc>
        <w:tc>
          <w:tcPr>
            <w:tcW w:w="1949" w:type="dxa"/>
            <w:tcBorders>
              <w:top w:val="nil"/>
              <w:left w:val="nil"/>
              <w:bottom w:val="single" w:color="auto" w:sz="4" w:space="0"/>
              <w:right w:val="single" w:color="auto" w:sz="8"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r>
      <w:tr>
        <w:tblPrEx>
          <w:tblLayout w:type="fixed"/>
          <w:tblCellMar>
            <w:top w:w="0" w:type="dxa"/>
            <w:left w:w="108" w:type="dxa"/>
            <w:bottom w:w="0" w:type="dxa"/>
            <w:right w:w="108" w:type="dxa"/>
          </w:tblCellMar>
        </w:tblPrEx>
        <w:trPr>
          <w:trHeight w:val="319" w:hRule="atLeast"/>
        </w:trPr>
        <w:tc>
          <w:tcPr>
            <w:tcW w:w="81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9</w:t>
            </w:r>
          </w:p>
        </w:tc>
        <w:tc>
          <w:tcPr>
            <w:tcW w:w="449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年平均净利润</w:t>
            </w:r>
          </w:p>
        </w:tc>
        <w:tc>
          <w:tcPr>
            <w:tcW w:w="1385" w:type="dxa"/>
            <w:tcBorders>
              <w:top w:val="nil"/>
              <w:left w:val="nil"/>
              <w:bottom w:val="single" w:color="auto" w:sz="4" w:space="0"/>
              <w:right w:val="single" w:color="auto" w:sz="4" w:space="0"/>
            </w:tcBorders>
            <w:shd w:val="clear" w:color="auto" w:fill="auto"/>
            <w:vAlign w:val="center"/>
          </w:tcPr>
          <w:p>
            <w:pPr>
              <w:widowControl/>
              <w:jc w:val="righ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1101.5</w:t>
            </w:r>
          </w:p>
        </w:tc>
        <w:tc>
          <w:tcPr>
            <w:tcW w:w="1949" w:type="dxa"/>
            <w:tcBorders>
              <w:top w:val="nil"/>
              <w:left w:val="nil"/>
              <w:bottom w:val="single" w:color="auto" w:sz="4" w:space="0"/>
              <w:right w:val="single" w:color="auto" w:sz="8"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r>
      <w:tr>
        <w:tblPrEx>
          <w:tblLayout w:type="fixed"/>
          <w:tblCellMar>
            <w:top w:w="0" w:type="dxa"/>
            <w:left w:w="108" w:type="dxa"/>
            <w:bottom w:w="0" w:type="dxa"/>
            <w:right w:w="108" w:type="dxa"/>
          </w:tblCellMar>
        </w:tblPrEx>
        <w:trPr>
          <w:trHeight w:val="319" w:hRule="atLeast"/>
        </w:trPr>
        <w:tc>
          <w:tcPr>
            <w:tcW w:w="81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1</w:t>
            </w:r>
          </w:p>
        </w:tc>
        <w:tc>
          <w:tcPr>
            <w:tcW w:w="449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总投资收益率(%)</w:t>
            </w:r>
          </w:p>
        </w:tc>
        <w:tc>
          <w:tcPr>
            <w:tcW w:w="1385" w:type="dxa"/>
            <w:tcBorders>
              <w:top w:val="nil"/>
              <w:left w:val="nil"/>
              <w:bottom w:val="single" w:color="auto" w:sz="4" w:space="0"/>
              <w:right w:val="single" w:color="auto" w:sz="4" w:space="0"/>
            </w:tcBorders>
            <w:shd w:val="clear" w:color="auto" w:fill="auto"/>
            <w:vAlign w:val="center"/>
          </w:tcPr>
          <w:p>
            <w:pPr>
              <w:widowControl/>
              <w:jc w:val="righ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19.3</w:t>
            </w:r>
          </w:p>
        </w:tc>
        <w:tc>
          <w:tcPr>
            <w:tcW w:w="1949" w:type="dxa"/>
            <w:tcBorders>
              <w:top w:val="nil"/>
              <w:left w:val="nil"/>
              <w:bottom w:val="single" w:color="auto" w:sz="4" w:space="0"/>
              <w:right w:val="single" w:color="auto" w:sz="8"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r>
      <w:tr>
        <w:tblPrEx>
          <w:tblLayout w:type="fixed"/>
          <w:tblCellMar>
            <w:top w:w="0" w:type="dxa"/>
            <w:left w:w="108" w:type="dxa"/>
            <w:bottom w:w="0" w:type="dxa"/>
            <w:right w:w="108" w:type="dxa"/>
          </w:tblCellMar>
        </w:tblPrEx>
        <w:trPr>
          <w:trHeight w:val="319" w:hRule="atLeast"/>
        </w:trPr>
        <w:tc>
          <w:tcPr>
            <w:tcW w:w="81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2</w:t>
            </w:r>
          </w:p>
        </w:tc>
        <w:tc>
          <w:tcPr>
            <w:tcW w:w="449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投资利税率(%)</w:t>
            </w:r>
          </w:p>
        </w:tc>
        <w:tc>
          <w:tcPr>
            <w:tcW w:w="1385" w:type="dxa"/>
            <w:tcBorders>
              <w:top w:val="nil"/>
              <w:left w:val="nil"/>
              <w:bottom w:val="single" w:color="auto" w:sz="4" w:space="0"/>
              <w:right w:val="single" w:color="auto" w:sz="4" w:space="0"/>
            </w:tcBorders>
            <w:shd w:val="clear" w:color="auto" w:fill="auto"/>
            <w:vAlign w:val="center"/>
          </w:tcPr>
          <w:p>
            <w:pPr>
              <w:widowControl/>
              <w:jc w:val="righ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19.0</w:t>
            </w:r>
          </w:p>
        </w:tc>
        <w:tc>
          <w:tcPr>
            <w:tcW w:w="1949" w:type="dxa"/>
            <w:tcBorders>
              <w:top w:val="nil"/>
              <w:left w:val="nil"/>
              <w:bottom w:val="single" w:color="auto" w:sz="4" w:space="0"/>
              <w:right w:val="single" w:color="auto" w:sz="8"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r>
      <w:tr>
        <w:tblPrEx>
          <w:tblLayout w:type="fixed"/>
          <w:tblCellMar>
            <w:top w:w="0" w:type="dxa"/>
            <w:left w:w="108" w:type="dxa"/>
            <w:bottom w:w="0" w:type="dxa"/>
            <w:right w:w="108" w:type="dxa"/>
          </w:tblCellMar>
        </w:tblPrEx>
        <w:trPr>
          <w:trHeight w:val="319" w:hRule="atLeast"/>
        </w:trPr>
        <w:tc>
          <w:tcPr>
            <w:tcW w:w="81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3</w:t>
            </w:r>
          </w:p>
        </w:tc>
        <w:tc>
          <w:tcPr>
            <w:tcW w:w="449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资本金净利润率(%)</w:t>
            </w:r>
          </w:p>
        </w:tc>
        <w:tc>
          <w:tcPr>
            <w:tcW w:w="1385" w:type="dxa"/>
            <w:tcBorders>
              <w:top w:val="nil"/>
              <w:left w:val="nil"/>
              <w:bottom w:val="single" w:color="auto" w:sz="4" w:space="0"/>
              <w:right w:val="single" w:color="auto" w:sz="4" w:space="0"/>
            </w:tcBorders>
            <w:shd w:val="clear" w:color="auto" w:fill="auto"/>
            <w:vAlign w:val="center"/>
          </w:tcPr>
          <w:p>
            <w:pPr>
              <w:widowControl/>
              <w:jc w:val="righ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46.1</w:t>
            </w:r>
          </w:p>
        </w:tc>
        <w:tc>
          <w:tcPr>
            <w:tcW w:w="1949" w:type="dxa"/>
            <w:tcBorders>
              <w:top w:val="nil"/>
              <w:left w:val="nil"/>
              <w:bottom w:val="single" w:color="auto" w:sz="4" w:space="0"/>
              <w:right w:val="single" w:color="auto" w:sz="8"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r>
      <w:tr>
        <w:tblPrEx>
          <w:tblLayout w:type="fixed"/>
          <w:tblCellMar>
            <w:top w:w="0" w:type="dxa"/>
            <w:left w:w="108" w:type="dxa"/>
            <w:bottom w:w="0" w:type="dxa"/>
            <w:right w:w="108" w:type="dxa"/>
          </w:tblCellMar>
        </w:tblPrEx>
        <w:trPr>
          <w:trHeight w:val="319" w:hRule="atLeast"/>
        </w:trPr>
        <w:tc>
          <w:tcPr>
            <w:tcW w:w="81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4</w:t>
            </w:r>
          </w:p>
        </w:tc>
        <w:tc>
          <w:tcPr>
            <w:tcW w:w="449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借款偿还期(年)</w:t>
            </w:r>
          </w:p>
        </w:tc>
        <w:tc>
          <w:tcPr>
            <w:tcW w:w="1385" w:type="dxa"/>
            <w:tcBorders>
              <w:top w:val="nil"/>
              <w:left w:val="nil"/>
              <w:bottom w:val="single" w:color="auto" w:sz="4" w:space="0"/>
              <w:right w:val="single" w:color="auto" w:sz="4" w:space="0"/>
            </w:tcBorders>
            <w:shd w:val="clear" w:color="auto" w:fill="auto"/>
            <w:vAlign w:val="center"/>
          </w:tcPr>
          <w:p>
            <w:pPr>
              <w:widowControl/>
              <w:jc w:val="righ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c>
          <w:tcPr>
            <w:tcW w:w="1949" w:type="dxa"/>
            <w:tcBorders>
              <w:top w:val="nil"/>
              <w:left w:val="nil"/>
              <w:bottom w:val="single" w:color="auto" w:sz="4" w:space="0"/>
              <w:right w:val="single" w:color="auto" w:sz="8"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r>
      <w:tr>
        <w:tblPrEx>
          <w:tblLayout w:type="fixed"/>
          <w:tblCellMar>
            <w:top w:w="0" w:type="dxa"/>
            <w:left w:w="108" w:type="dxa"/>
            <w:bottom w:w="0" w:type="dxa"/>
            <w:right w:w="108" w:type="dxa"/>
          </w:tblCellMar>
        </w:tblPrEx>
        <w:trPr>
          <w:trHeight w:val="319" w:hRule="atLeast"/>
        </w:trPr>
        <w:tc>
          <w:tcPr>
            <w:tcW w:w="81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4.1</w:t>
            </w:r>
          </w:p>
        </w:tc>
        <w:tc>
          <w:tcPr>
            <w:tcW w:w="449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银行贷款(年)</w:t>
            </w:r>
          </w:p>
        </w:tc>
        <w:tc>
          <w:tcPr>
            <w:tcW w:w="1385" w:type="dxa"/>
            <w:tcBorders>
              <w:top w:val="nil"/>
              <w:left w:val="nil"/>
              <w:bottom w:val="single" w:color="auto" w:sz="4" w:space="0"/>
              <w:right w:val="single" w:color="auto" w:sz="4" w:space="0"/>
            </w:tcBorders>
            <w:shd w:val="clear" w:color="auto" w:fill="auto"/>
            <w:vAlign w:val="center"/>
          </w:tcPr>
          <w:p>
            <w:pPr>
              <w:widowControl/>
              <w:jc w:val="righ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c>
          <w:tcPr>
            <w:tcW w:w="1949" w:type="dxa"/>
            <w:tcBorders>
              <w:top w:val="nil"/>
              <w:left w:val="nil"/>
              <w:bottom w:val="single" w:color="auto" w:sz="4" w:space="0"/>
              <w:right w:val="single" w:color="auto" w:sz="8"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r>
      <w:tr>
        <w:tblPrEx>
          <w:tblLayout w:type="fixed"/>
          <w:tblCellMar>
            <w:top w:w="0" w:type="dxa"/>
            <w:left w:w="108" w:type="dxa"/>
            <w:bottom w:w="0" w:type="dxa"/>
            <w:right w:w="108" w:type="dxa"/>
          </w:tblCellMar>
        </w:tblPrEx>
        <w:trPr>
          <w:trHeight w:val="319" w:hRule="atLeast"/>
        </w:trPr>
        <w:tc>
          <w:tcPr>
            <w:tcW w:w="81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4.2</w:t>
            </w:r>
          </w:p>
        </w:tc>
        <w:tc>
          <w:tcPr>
            <w:tcW w:w="449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平均利息备付率</w:t>
            </w:r>
          </w:p>
        </w:tc>
        <w:tc>
          <w:tcPr>
            <w:tcW w:w="1385" w:type="dxa"/>
            <w:tcBorders>
              <w:top w:val="nil"/>
              <w:left w:val="nil"/>
              <w:bottom w:val="single" w:color="auto" w:sz="4" w:space="0"/>
              <w:right w:val="single" w:color="auto" w:sz="4" w:space="0"/>
            </w:tcBorders>
            <w:shd w:val="clear" w:color="auto" w:fill="auto"/>
            <w:vAlign w:val="center"/>
          </w:tcPr>
          <w:p>
            <w:pPr>
              <w:widowControl/>
              <w:jc w:val="righ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2269.1</w:t>
            </w:r>
          </w:p>
        </w:tc>
        <w:tc>
          <w:tcPr>
            <w:tcW w:w="1949" w:type="dxa"/>
            <w:tcBorders>
              <w:top w:val="nil"/>
              <w:left w:val="nil"/>
              <w:bottom w:val="single" w:color="auto" w:sz="4" w:space="0"/>
              <w:right w:val="single" w:color="auto" w:sz="8"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r>
      <w:tr>
        <w:tblPrEx>
          <w:tblLayout w:type="fixed"/>
          <w:tblCellMar>
            <w:top w:w="0" w:type="dxa"/>
            <w:left w:w="108" w:type="dxa"/>
            <w:bottom w:w="0" w:type="dxa"/>
            <w:right w:w="108" w:type="dxa"/>
          </w:tblCellMar>
        </w:tblPrEx>
        <w:trPr>
          <w:trHeight w:val="319" w:hRule="atLeast"/>
        </w:trPr>
        <w:tc>
          <w:tcPr>
            <w:tcW w:w="81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4.3</w:t>
            </w:r>
          </w:p>
        </w:tc>
        <w:tc>
          <w:tcPr>
            <w:tcW w:w="449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平均偿债备付率</w:t>
            </w:r>
          </w:p>
        </w:tc>
        <w:tc>
          <w:tcPr>
            <w:tcW w:w="1385" w:type="dxa"/>
            <w:tcBorders>
              <w:top w:val="nil"/>
              <w:left w:val="nil"/>
              <w:bottom w:val="single" w:color="auto" w:sz="4" w:space="0"/>
              <w:right w:val="single" w:color="auto" w:sz="4" w:space="0"/>
            </w:tcBorders>
            <w:shd w:val="clear" w:color="auto" w:fill="auto"/>
            <w:vAlign w:val="center"/>
          </w:tcPr>
          <w:p>
            <w:pPr>
              <w:widowControl/>
              <w:jc w:val="righ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173.2</w:t>
            </w:r>
          </w:p>
        </w:tc>
        <w:tc>
          <w:tcPr>
            <w:tcW w:w="1949" w:type="dxa"/>
            <w:tcBorders>
              <w:top w:val="nil"/>
              <w:left w:val="nil"/>
              <w:bottom w:val="single" w:color="auto" w:sz="4" w:space="0"/>
              <w:right w:val="single" w:color="auto" w:sz="8"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r>
      <w:tr>
        <w:tblPrEx>
          <w:tblLayout w:type="fixed"/>
          <w:tblCellMar>
            <w:top w:w="0" w:type="dxa"/>
            <w:left w:w="108" w:type="dxa"/>
            <w:bottom w:w="0" w:type="dxa"/>
            <w:right w:w="108" w:type="dxa"/>
          </w:tblCellMar>
        </w:tblPrEx>
        <w:trPr>
          <w:trHeight w:val="319" w:hRule="atLeast"/>
        </w:trPr>
        <w:tc>
          <w:tcPr>
            <w:tcW w:w="81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5</w:t>
            </w:r>
          </w:p>
        </w:tc>
        <w:tc>
          <w:tcPr>
            <w:tcW w:w="449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资产负债率最高值(%)</w:t>
            </w:r>
          </w:p>
        </w:tc>
        <w:tc>
          <w:tcPr>
            <w:tcW w:w="1385" w:type="dxa"/>
            <w:tcBorders>
              <w:top w:val="nil"/>
              <w:left w:val="nil"/>
              <w:bottom w:val="single" w:color="auto" w:sz="4" w:space="0"/>
              <w:right w:val="single" w:color="auto" w:sz="4" w:space="0"/>
            </w:tcBorders>
            <w:shd w:val="clear" w:color="auto" w:fill="auto"/>
            <w:vAlign w:val="center"/>
          </w:tcPr>
          <w:p>
            <w:pPr>
              <w:widowControl/>
              <w:jc w:val="righ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67.3</w:t>
            </w:r>
          </w:p>
        </w:tc>
        <w:tc>
          <w:tcPr>
            <w:tcW w:w="1949" w:type="dxa"/>
            <w:tcBorders>
              <w:top w:val="nil"/>
              <w:left w:val="nil"/>
              <w:bottom w:val="single" w:color="auto" w:sz="4" w:space="0"/>
              <w:right w:val="single" w:color="auto" w:sz="8"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r>
      <w:tr>
        <w:tblPrEx>
          <w:tblLayout w:type="fixed"/>
          <w:tblCellMar>
            <w:top w:w="0" w:type="dxa"/>
            <w:left w:w="108" w:type="dxa"/>
            <w:bottom w:w="0" w:type="dxa"/>
            <w:right w:w="108" w:type="dxa"/>
          </w:tblCellMar>
        </w:tblPrEx>
        <w:trPr>
          <w:trHeight w:val="319" w:hRule="atLeast"/>
        </w:trPr>
        <w:tc>
          <w:tcPr>
            <w:tcW w:w="81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c>
          <w:tcPr>
            <w:tcW w:w="449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税前</w:t>
            </w:r>
          </w:p>
        </w:tc>
        <w:tc>
          <w:tcPr>
            <w:tcW w:w="1385" w:type="dxa"/>
            <w:tcBorders>
              <w:top w:val="nil"/>
              <w:left w:val="nil"/>
              <w:bottom w:val="single" w:color="auto" w:sz="4" w:space="0"/>
              <w:right w:val="single" w:color="auto" w:sz="4" w:space="0"/>
            </w:tcBorders>
            <w:shd w:val="clear" w:color="auto" w:fill="auto"/>
            <w:vAlign w:val="center"/>
          </w:tcPr>
          <w:p>
            <w:pPr>
              <w:widowControl/>
              <w:jc w:val="righ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c>
          <w:tcPr>
            <w:tcW w:w="1949" w:type="dxa"/>
            <w:tcBorders>
              <w:top w:val="nil"/>
              <w:left w:val="nil"/>
              <w:bottom w:val="single" w:color="auto" w:sz="4" w:space="0"/>
              <w:right w:val="single" w:color="auto" w:sz="8"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r>
      <w:tr>
        <w:tblPrEx>
          <w:tblLayout w:type="fixed"/>
          <w:tblCellMar>
            <w:top w:w="0" w:type="dxa"/>
            <w:left w:w="108" w:type="dxa"/>
            <w:bottom w:w="0" w:type="dxa"/>
            <w:right w:w="108" w:type="dxa"/>
          </w:tblCellMar>
        </w:tblPrEx>
        <w:trPr>
          <w:trHeight w:val="319" w:hRule="atLeast"/>
        </w:trPr>
        <w:tc>
          <w:tcPr>
            <w:tcW w:w="81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6</w:t>
            </w:r>
          </w:p>
        </w:tc>
        <w:tc>
          <w:tcPr>
            <w:tcW w:w="449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项目财务内部收益率(%)</w:t>
            </w:r>
          </w:p>
        </w:tc>
        <w:tc>
          <w:tcPr>
            <w:tcW w:w="1385" w:type="dxa"/>
            <w:tcBorders>
              <w:top w:val="nil"/>
              <w:left w:val="nil"/>
              <w:bottom w:val="single" w:color="auto" w:sz="4" w:space="0"/>
              <w:right w:val="single" w:color="auto" w:sz="4" w:space="0"/>
            </w:tcBorders>
            <w:shd w:val="clear" w:color="auto" w:fill="auto"/>
            <w:vAlign w:val="center"/>
          </w:tcPr>
          <w:p>
            <w:pPr>
              <w:widowControl/>
              <w:jc w:val="righ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15.2</w:t>
            </w:r>
          </w:p>
        </w:tc>
        <w:tc>
          <w:tcPr>
            <w:tcW w:w="1949" w:type="dxa"/>
            <w:tcBorders>
              <w:top w:val="nil"/>
              <w:left w:val="nil"/>
              <w:bottom w:val="single" w:color="auto" w:sz="4" w:space="0"/>
              <w:right w:val="single" w:color="auto" w:sz="8"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r>
      <w:tr>
        <w:tblPrEx>
          <w:tblLayout w:type="fixed"/>
          <w:tblCellMar>
            <w:top w:w="0" w:type="dxa"/>
            <w:left w:w="108" w:type="dxa"/>
            <w:bottom w:w="0" w:type="dxa"/>
            <w:right w:w="108" w:type="dxa"/>
          </w:tblCellMar>
        </w:tblPrEx>
        <w:trPr>
          <w:trHeight w:val="319" w:hRule="atLeast"/>
        </w:trPr>
        <w:tc>
          <w:tcPr>
            <w:tcW w:w="81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7</w:t>
            </w:r>
          </w:p>
        </w:tc>
        <w:tc>
          <w:tcPr>
            <w:tcW w:w="449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项目财务净现值(ic=8%)</w:t>
            </w:r>
          </w:p>
        </w:tc>
        <w:tc>
          <w:tcPr>
            <w:tcW w:w="1385" w:type="dxa"/>
            <w:tcBorders>
              <w:top w:val="nil"/>
              <w:left w:val="nil"/>
              <w:bottom w:val="single" w:color="auto" w:sz="4" w:space="0"/>
              <w:right w:val="single" w:color="auto" w:sz="4" w:space="0"/>
            </w:tcBorders>
            <w:shd w:val="clear" w:color="auto" w:fill="auto"/>
            <w:vAlign w:val="center"/>
          </w:tcPr>
          <w:p>
            <w:pPr>
              <w:widowControl/>
              <w:jc w:val="righ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4987.1</w:t>
            </w:r>
          </w:p>
        </w:tc>
        <w:tc>
          <w:tcPr>
            <w:tcW w:w="1949" w:type="dxa"/>
            <w:tcBorders>
              <w:top w:val="nil"/>
              <w:left w:val="nil"/>
              <w:bottom w:val="single" w:color="auto" w:sz="4" w:space="0"/>
              <w:right w:val="single" w:color="auto" w:sz="8"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r>
      <w:tr>
        <w:tblPrEx>
          <w:tblLayout w:type="fixed"/>
          <w:tblCellMar>
            <w:top w:w="0" w:type="dxa"/>
            <w:left w:w="108" w:type="dxa"/>
            <w:bottom w:w="0" w:type="dxa"/>
            <w:right w:w="108" w:type="dxa"/>
          </w:tblCellMar>
        </w:tblPrEx>
        <w:trPr>
          <w:trHeight w:val="319" w:hRule="atLeast"/>
        </w:trPr>
        <w:tc>
          <w:tcPr>
            <w:tcW w:w="81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8</w:t>
            </w:r>
          </w:p>
        </w:tc>
        <w:tc>
          <w:tcPr>
            <w:tcW w:w="449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投资回收期(年)</w:t>
            </w:r>
          </w:p>
        </w:tc>
        <w:tc>
          <w:tcPr>
            <w:tcW w:w="1385" w:type="dxa"/>
            <w:tcBorders>
              <w:top w:val="nil"/>
              <w:left w:val="nil"/>
              <w:bottom w:val="single" w:color="auto" w:sz="4" w:space="0"/>
              <w:right w:val="single" w:color="auto" w:sz="4" w:space="0"/>
            </w:tcBorders>
            <w:shd w:val="clear" w:color="auto" w:fill="auto"/>
            <w:vAlign w:val="center"/>
          </w:tcPr>
          <w:p>
            <w:pPr>
              <w:widowControl/>
              <w:jc w:val="righ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8.3</w:t>
            </w:r>
          </w:p>
        </w:tc>
        <w:tc>
          <w:tcPr>
            <w:tcW w:w="1949" w:type="dxa"/>
            <w:tcBorders>
              <w:top w:val="nil"/>
              <w:left w:val="nil"/>
              <w:bottom w:val="single" w:color="auto" w:sz="4" w:space="0"/>
              <w:right w:val="single" w:color="auto" w:sz="8"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r>
      <w:tr>
        <w:tblPrEx>
          <w:tblLayout w:type="fixed"/>
          <w:tblCellMar>
            <w:top w:w="0" w:type="dxa"/>
            <w:left w:w="108" w:type="dxa"/>
            <w:bottom w:w="0" w:type="dxa"/>
            <w:right w:w="108" w:type="dxa"/>
          </w:tblCellMar>
        </w:tblPrEx>
        <w:trPr>
          <w:trHeight w:val="319" w:hRule="atLeast"/>
        </w:trPr>
        <w:tc>
          <w:tcPr>
            <w:tcW w:w="81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c>
          <w:tcPr>
            <w:tcW w:w="449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税后</w:t>
            </w:r>
          </w:p>
        </w:tc>
        <w:tc>
          <w:tcPr>
            <w:tcW w:w="1385" w:type="dxa"/>
            <w:tcBorders>
              <w:top w:val="nil"/>
              <w:left w:val="nil"/>
              <w:bottom w:val="single" w:color="auto" w:sz="4" w:space="0"/>
              <w:right w:val="single" w:color="auto" w:sz="4" w:space="0"/>
            </w:tcBorders>
            <w:shd w:val="clear" w:color="auto" w:fill="auto"/>
            <w:vAlign w:val="center"/>
          </w:tcPr>
          <w:p>
            <w:pPr>
              <w:widowControl/>
              <w:jc w:val="righ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c>
          <w:tcPr>
            <w:tcW w:w="1949" w:type="dxa"/>
            <w:tcBorders>
              <w:top w:val="nil"/>
              <w:left w:val="nil"/>
              <w:bottom w:val="single" w:color="auto" w:sz="4" w:space="0"/>
              <w:right w:val="single" w:color="auto" w:sz="8"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r>
      <w:tr>
        <w:tblPrEx>
          <w:tblLayout w:type="fixed"/>
          <w:tblCellMar>
            <w:top w:w="0" w:type="dxa"/>
            <w:left w:w="108" w:type="dxa"/>
            <w:bottom w:w="0" w:type="dxa"/>
            <w:right w:w="108" w:type="dxa"/>
          </w:tblCellMar>
        </w:tblPrEx>
        <w:trPr>
          <w:trHeight w:val="319" w:hRule="atLeast"/>
        </w:trPr>
        <w:tc>
          <w:tcPr>
            <w:tcW w:w="81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9</w:t>
            </w:r>
          </w:p>
        </w:tc>
        <w:tc>
          <w:tcPr>
            <w:tcW w:w="449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项目财务内部收益率(%)</w:t>
            </w:r>
          </w:p>
        </w:tc>
        <w:tc>
          <w:tcPr>
            <w:tcW w:w="1385" w:type="dxa"/>
            <w:tcBorders>
              <w:top w:val="nil"/>
              <w:left w:val="nil"/>
              <w:bottom w:val="single" w:color="auto" w:sz="4" w:space="0"/>
              <w:right w:val="single" w:color="auto" w:sz="4" w:space="0"/>
            </w:tcBorders>
            <w:shd w:val="clear" w:color="auto" w:fill="auto"/>
            <w:vAlign w:val="center"/>
          </w:tcPr>
          <w:p>
            <w:pPr>
              <w:widowControl/>
              <w:jc w:val="righ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11.5</w:t>
            </w:r>
          </w:p>
        </w:tc>
        <w:tc>
          <w:tcPr>
            <w:tcW w:w="1949" w:type="dxa"/>
            <w:tcBorders>
              <w:top w:val="nil"/>
              <w:left w:val="nil"/>
              <w:bottom w:val="single" w:color="auto" w:sz="4" w:space="0"/>
              <w:right w:val="single" w:color="auto" w:sz="8"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r>
      <w:tr>
        <w:tblPrEx>
          <w:tblLayout w:type="fixed"/>
          <w:tblCellMar>
            <w:top w:w="0" w:type="dxa"/>
            <w:left w:w="108" w:type="dxa"/>
            <w:bottom w:w="0" w:type="dxa"/>
            <w:right w:w="108" w:type="dxa"/>
          </w:tblCellMar>
        </w:tblPrEx>
        <w:trPr>
          <w:trHeight w:val="319" w:hRule="atLeast"/>
        </w:trPr>
        <w:tc>
          <w:tcPr>
            <w:tcW w:w="81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10</w:t>
            </w:r>
          </w:p>
        </w:tc>
        <w:tc>
          <w:tcPr>
            <w:tcW w:w="449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项目财务净现值(ic=8%)</w:t>
            </w:r>
          </w:p>
        </w:tc>
        <w:tc>
          <w:tcPr>
            <w:tcW w:w="1385" w:type="dxa"/>
            <w:tcBorders>
              <w:top w:val="nil"/>
              <w:left w:val="nil"/>
              <w:bottom w:val="single" w:color="auto" w:sz="4" w:space="0"/>
              <w:right w:val="single" w:color="auto" w:sz="4" w:space="0"/>
            </w:tcBorders>
            <w:shd w:val="clear" w:color="auto" w:fill="auto"/>
            <w:vAlign w:val="center"/>
          </w:tcPr>
          <w:p>
            <w:pPr>
              <w:widowControl/>
              <w:jc w:val="righ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2185.8</w:t>
            </w:r>
          </w:p>
        </w:tc>
        <w:tc>
          <w:tcPr>
            <w:tcW w:w="1949" w:type="dxa"/>
            <w:tcBorders>
              <w:top w:val="nil"/>
              <w:left w:val="nil"/>
              <w:bottom w:val="single" w:color="auto" w:sz="4" w:space="0"/>
              <w:right w:val="single" w:color="auto" w:sz="8"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r>
      <w:tr>
        <w:tblPrEx>
          <w:tblLayout w:type="fixed"/>
          <w:tblCellMar>
            <w:top w:w="0" w:type="dxa"/>
            <w:left w:w="108" w:type="dxa"/>
            <w:bottom w:w="0" w:type="dxa"/>
            <w:right w:w="108" w:type="dxa"/>
          </w:tblCellMar>
        </w:tblPrEx>
        <w:trPr>
          <w:trHeight w:val="319" w:hRule="atLeast"/>
        </w:trPr>
        <w:tc>
          <w:tcPr>
            <w:tcW w:w="81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11</w:t>
            </w:r>
          </w:p>
        </w:tc>
        <w:tc>
          <w:tcPr>
            <w:tcW w:w="449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投资回收期(年)</w:t>
            </w:r>
          </w:p>
        </w:tc>
        <w:tc>
          <w:tcPr>
            <w:tcW w:w="1385" w:type="dxa"/>
            <w:tcBorders>
              <w:top w:val="nil"/>
              <w:left w:val="nil"/>
              <w:bottom w:val="single" w:color="auto" w:sz="4" w:space="0"/>
              <w:right w:val="single" w:color="auto" w:sz="4" w:space="0"/>
            </w:tcBorders>
            <w:shd w:val="clear" w:color="auto" w:fill="auto"/>
            <w:vAlign w:val="center"/>
          </w:tcPr>
          <w:p>
            <w:pPr>
              <w:widowControl/>
              <w:jc w:val="righ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9.8</w:t>
            </w:r>
          </w:p>
        </w:tc>
        <w:tc>
          <w:tcPr>
            <w:tcW w:w="1949" w:type="dxa"/>
            <w:tcBorders>
              <w:top w:val="nil"/>
              <w:left w:val="nil"/>
              <w:bottom w:val="single" w:color="auto" w:sz="4" w:space="0"/>
              <w:right w:val="single" w:color="auto" w:sz="8"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r>
      <w:tr>
        <w:tblPrEx>
          <w:tblLayout w:type="fixed"/>
          <w:tblCellMar>
            <w:top w:w="0" w:type="dxa"/>
            <w:left w:w="108" w:type="dxa"/>
            <w:bottom w:w="0" w:type="dxa"/>
            <w:right w:w="108" w:type="dxa"/>
          </w:tblCellMar>
        </w:tblPrEx>
        <w:trPr>
          <w:trHeight w:val="319" w:hRule="atLeast"/>
        </w:trPr>
        <w:tc>
          <w:tcPr>
            <w:tcW w:w="81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12</w:t>
            </w:r>
          </w:p>
        </w:tc>
        <w:tc>
          <w:tcPr>
            <w:tcW w:w="449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资本金财务内部收益率(%)</w:t>
            </w:r>
          </w:p>
        </w:tc>
        <w:tc>
          <w:tcPr>
            <w:tcW w:w="1385" w:type="dxa"/>
            <w:tcBorders>
              <w:top w:val="nil"/>
              <w:left w:val="nil"/>
              <w:bottom w:val="single" w:color="auto" w:sz="4" w:space="0"/>
              <w:right w:val="single" w:color="auto" w:sz="4" w:space="0"/>
            </w:tcBorders>
            <w:shd w:val="clear" w:color="auto" w:fill="auto"/>
            <w:vAlign w:val="center"/>
          </w:tcPr>
          <w:p>
            <w:pPr>
              <w:widowControl/>
              <w:jc w:val="righ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c>
          <w:tcPr>
            <w:tcW w:w="1949" w:type="dxa"/>
            <w:tcBorders>
              <w:top w:val="nil"/>
              <w:left w:val="nil"/>
              <w:bottom w:val="single" w:color="auto" w:sz="4" w:space="0"/>
              <w:right w:val="single" w:color="auto" w:sz="8"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r>
      <w:tr>
        <w:tblPrEx>
          <w:tblLayout w:type="fixed"/>
          <w:tblCellMar>
            <w:top w:w="0" w:type="dxa"/>
            <w:left w:w="108" w:type="dxa"/>
            <w:bottom w:w="0" w:type="dxa"/>
            <w:right w:w="108" w:type="dxa"/>
          </w:tblCellMar>
        </w:tblPrEx>
        <w:trPr>
          <w:trHeight w:val="319" w:hRule="atLeast"/>
        </w:trPr>
        <w:tc>
          <w:tcPr>
            <w:tcW w:w="81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13</w:t>
            </w:r>
          </w:p>
        </w:tc>
        <w:tc>
          <w:tcPr>
            <w:tcW w:w="4498"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资本金财务净现值(ic=8%)</w:t>
            </w:r>
          </w:p>
        </w:tc>
        <w:tc>
          <w:tcPr>
            <w:tcW w:w="1385" w:type="dxa"/>
            <w:tcBorders>
              <w:top w:val="nil"/>
              <w:left w:val="nil"/>
              <w:bottom w:val="single" w:color="auto" w:sz="4" w:space="0"/>
              <w:right w:val="single" w:color="auto" w:sz="4" w:space="0"/>
            </w:tcBorders>
            <w:shd w:val="clear" w:color="auto" w:fill="auto"/>
            <w:vAlign w:val="center"/>
          </w:tcPr>
          <w:p>
            <w:pPr>
              <w:widowControl/>
              <w:jc w:val="righ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4241.4</w:t>
            </w:r>
          </w:p>
        </w:tc>
        <w:tc>
          <w:tcPr>
            <w:tcW w:w="1949" w:type="dxa"/>
            <w:tcBorders>
              <w:top w:val="nil"/>
              <w:left w:val="nil"/>
              <w:bottom w:val="single" w:color="auto" w:sz="4" w:space="0"/>
              <w:right w:val="single" w:color="auto" w:sz="8"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r>
      <w:tr>
        <w:tblPrEx>
          <w:tblLayout w:type="fixed"/>
          <w:tblCellMar>
            <w:top w:w="0" w:type="dxa"/>
            <w:left w:w="108" w:type="dxa"/>
            <w:bottom w:w="0" w:type="dxa"/>
            <w:right w:w="108" w:type="dxa"/>
          </w:tblCellMar>
        </w:tblPrEx>
        <w:trPr>
          <w:trHeight w:val="319" w:hRule="atLeast"/>
        </w:trPr>
        <w:tc>
          <w:tcPr>
            <w:tcW w:w="81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14</w:t>
            </w:r>
          </w:p>
        </w:tc>
        <w:tc>
          <w:tcPr>
            <w:tcW w:w="4498" w:type="dxa"/>
            <w:tcBorders>
              <w:top w:val="nil"/>
              <w:left w:val="nil"/>
              <w:bottom w:val="nil"/>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单位平均成本(元/立方米)</w:t>
            </w:r>
          </w:p>
        </w:tc>
        <w:tc>
          <w:tcPr>
            <w:tcW w:w="1385" w:type="dxa"/>
            <w:tcBorders>
              <w:top w:val="nil"/>
              <w:left w:val="nil"/>
              <w:bottom w:val="nil"/>
              <w:right w:val="single" w:color="auto" w:sz="4" w:space="0"/>
            </w:tcBorders>
            <w:shd w:val="clear" w:color="auto" w:fill="auto"/>
            <w:vAlign w:val="center"/>
          </w:tcPr>
          <w:p>
            <w:pPr>
              <w:widowControl/>
              <w:jc w:val="righ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4.1</w:t>
            </w:r>
          </w:p>
        </w:tc>
        <w:tc>
          <w:tcPr>
            <w:tcW w:w="1949" w:type="dxa"/>
            <w:tcBorders>
              <w:top w:val="nil"/>
              <w:left w:val="nil"/>
              <w:bottom w:val="nil"/>
              <w:right w:val="single" w:color="auto" w:sz="8"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r>
      <w:tr>
        <w:tblPrEx>
          <w:tblLayout w:type="fixed"/>
          <w:tblCellMar>
            <w:top w:w="0" w:type="dxa"/>
            <w:left w:w="108" w:type="dxa"/>
            <w:bottom w:w="0" w:type="dxa"/>
            <w:right w:w="108" w:type="dxa"/>
          </w:tblCellMar>
        </w:tblPrEx>
        <w:trPr>
          <w:trHeight w:val="319" w:hRule="atLeast"/>
        </w:trPr>
        <w:tc>
          <w:tcPr>
            <w:tcW w:w="813"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15</w:t>
            </w:r>
          </w:p>
        </w:tc>
        <w:tc>
          <w:tcPr>
            <w:tcW w:w="4498" w:type="dxa"/>
            <w:tcBorders>
              <w:top w:val="single" w:color="auto" w:sz="4" w:space="0"/>
              <w:left w:val="nil"/>
              <w:bottom w:val="nil"/>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盈亏平衡点(正常年份)</w:t>
            </w:r>
          </w:p>
        </w:tc>
        <w:tc>
          <w:tcPr>
            <w:tcW w:w="1385" w:type="dxa"/>
            <w:tcBorders>
              <w:top w:val="single" w:color="auto" w:sz="4" w:space="0"/>
              <w:left w:val="nil"/>
              <w:bottom w:val="nil"/>
              <w:right w:val="single" w:color="auto" w:sz="4" w:space="0"/>
            </w:tcBorders>
            <w:shd w:val="clear" w:color="auto" w:fill="auto"/>
            <w:vAlign w:val="center"/>
          </w:tcPr>
          <w:p>
            <w:pPr>
              <w:widowControl/>
              <w:jc w:val="righ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56.9</w:t>
            </w:r>
          </w:p>
        </w:tc>
        <w:tc>
          <w:tcPr>
            <w:tcW w:w="1949" w:type="dxa"/>
            <w:tcBorders>
              <w:top w:val="single" w:color="auto" w:sz="4" w:space="0"/>
              <w:left w:val="nil"/>
              <w:bottom w:val="nil"/>
              <w:right w:val="single" w:color="auto" w:sz="8"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r>
      <w:tr>
        <w:tblPrEx>
          <w:tblLayout w:type="fixed"/>
          <w:tblCellMar>
            <w:top w:w="0" w:type="dxa"/>
            <w:left w:w="108" w:type="dxa"/>
            <w:bottom w:w="0" w:type="dxa"/>
            <w:right w:w="108" w:type="dxa"/>
          </w:tblCellMar>
        </w:tblPrEx>
        <w:trPr>
          <w:trHeight w:val="319" w:hRule="atLeast"/>
        </w:trPr>
        <w:tc>
          <w:tcPr>
            <w:tcW w:w="813" w:type="dxa"/>
            <w:tcBorders>
              <w:top w:val="nil"/>
              <w:left w:val="single" w:color="auto" w:sz="8" w:space="0"/>
              <w:bottom w:val="single" w:color="auto" w:sz="8"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15.1</w:t>
            </w:r>
          </w:p>
        </w:tc>
        <w:tc>
          <w:tcPr>
            <w:tcW w:w="4498"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生产能力利用率(%)</w:t>
            </w:r>
          </w:p>
        </w:tc>
        <w:tc>
          <w:tcPr>
            <w:tcW w:w="1385" w:type="dxa"/>
            <w:tcBorders>
              <w:top w:val="single" w:color="auto" w:sz="4" w:space="0"/>
              <w:left w:val="nil"/>
              <w:bottom w:val="single" w:color="auto" w:sz="8" w:space="0"/>
              <w:right w:val="single" w:color="auto" w:sz="4" w:space="0"/>
            </w:tcBorders>
            <w:shd w:val="clear" w:color="auto" w:fill="auto"/>
            <w:vAlign w:val="center"/>
          </w:tcPr>
          <w:p>
            <w:pPr>
              <w:widowControl/>
              <w:jc w:val="right"/>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56.9</w:t>
            </w:r>
          </w:p>
        </w:tc>
        <w:tc>
          <w:tcPr>
            <w:tcW w:w="1949" w:type="dxa"/>
            <w:tcBorders>
              <w:top w:val="single" w:color="auto" w:sz="4" w:space="0"/>
              <w:left w:val="nil"/>
              <w:bottom w:val="single" w:color="auto" w:sz="8" w:space="0"/>
              <w:right w:val="single" w:color="auto" w:sz="8" w:space="0"/>
            </w:tcBorders>
            <w:shd w:val="clear" w:color="auto" w:fill="auto"/>
            <w:vAlign w:val="center"/>
          </w:tcPr>
          <w:p>
            <w:pPr>
              <w:widowControl/>
              <w:jc w:val="center"/>
              <w:rPr>
                <w:rFonts w:asciiTheme="minorEastAsia" w:hAnsiTheme="minorEastAsia" w:cstheme="minorEastAsia"/>
                <w:color w:val="auto"/>
                <w:kern w:val="0"/>
                <w:szCs w:val="21"/>
                <w:highlight w:val="none"/>
              </w:rPr>
            </w:pPr>
            <w:r>
              <w:rPr>
                <w:rFonts w:hint="eastAsia" w:asciiTheme="minorEastAsia" w:hAnsiTheme="minorEastAsia" w:cstheme="minorEastAsia"/>
                <w:color w:val="auto"/>
                <w:kern w:val="0"/>
                <w:szCs w:val="21"/>
                <w:highlight w:val="none"/>
              </w:rPr>
              <w:t>　</w:t>
            </w:r>
          </w:p>
        </w:tc>
      </w:tr>
    </w:tbl>
    <w:p>
      <w:pPr>
        <w:autoSpaceDE w:val="0"/>
        <w:autoSpaceDN w:val="0"/>
        <w:adjustRightInd w:val="0"/>
        <w:jc w:val="left"/>
        <w:rPr>
          <w:rFonts w:cs="Times New Roman"/>
          <w:color w:val="auto"/>
          <w:kern w:val="0"/>
          <w:sz w:val="28"/>
          <w:szCs w:val="28"/>
          <w:highlight w:val="none"/>
          <w:shd w:val="clear" w:color="auto" w:fill="FFFFFF"/>
        </w:rPr>
      </w:pPr>
    </w:p>
    <w:p>
      <w:pPr>
        <w:pStyle w:val="8"/>
        <w:spacing w:line="360" w:lineRule="auto"/>
        <w:ind w:firstLine="0"/>
        <w:rPr>
          <w:rFonts w:eastAsia="仿宋_GB2312"/>
          <w:color w:val="auto"/>
          <w:sz w:val="32"/>
          <w:highlight w:val="none"/>
        </w:rPr>
      </w:pPr>
    </w:p>
    <w:p>
      <w:pPr>
        <w:pStyle w:val="8"/>
        <w:spacing w:line="360" w:lineRule="auto"/>
        <w:ind w:firstLine="0"/>
        <w:jc w:val="center"/>
        <w:rPr>
          <w:rFonts w:eastAsia="仿宋_GB2312"/>
          <w:color w:val="auto"/>
          <w:sz w:val="32"/>
          <w:highlight w:val="none"/>
        </w:rPr>
      </w:pPr>
    </w:p>
    <w:p>
      <w:pPr>
        <w:pStyle w:val="8"/>
        <w:spacing w:line="360" w:lineRule="auto"/>
        <w:ind w:firstLine="0"/>
        <w:jc w:val="center"/>
        <w:rPr>
          <w:rFonts w:eastAsia="仿宋_GB2312"/>
          <w:color w:val="auto"/>
          <w:sz w:val="32"/>
          <w:highlight w:val="none"/>
        </w:rPr>
      </w:pPr>
    </w:p>
    <w:p>
      <w:pPr>
        <w:pStyle w:val="8"/>
        <w:spacing w:line="360" w:lineRule="auto"/>
        <w:ind w:firstLine="0"/>
        <w:jc w:val="center"/>
        <w:rPr>
          <w:rFonts w:eastAsia="仿宋_GB2312"/>
          <w:color w:val="auto"/>
          <w:sz w:val="32"/>
          <w:highlight w:val="none"/>
        </w:rPr>
      </w:pPr>
    </w:p>
    <w:p>
      <w:pPr>
        <w:pStyle w:val="8"/>
        <w:spacing w:line="360" w:lineRule="auto"/>
        <w:ind w:firstLine="0"/>
        <w:rPr>
          <w:rFonts w:eastAsia="仿宋_GB2312"/>
          <w:color w:val="auto"/>
          <w:sz w:val="32"/>
          <w:highlight w:val="none"/>
        </w:rPr>
      </w:pPr>
    </w:p>
    <w:p>
      <w:pPr>
        <w:pStyle w:val="8"/>
        <w:spacing w:line="360" w:lineRule="auto"/>
        <w:ind w:firstLine="0"/>
        <w:rPr>
          <w:rFonts w:eastAsia="仿宋_GB2312"/>
          <w:color w:val="auto"/>
          <w:sz w:val="32"/>
          <w:highlight w:val="none"/>
        </w:rPr>
      </w:pPr>
    </w:p>
    <w:p>
      <w:pPr>
        <w:pStyle w:val="8"/>
        <w:spacing w:line="360" w:lineRule="auto"/>
        <w:ind w:firstLine="0"/>
        <w:rPr>
          <w:rFonts w:eastAsia="仿宋_GB2312"/>
          <w:color w:val="auto"/>
          <w:sz w:val="32"/>
          <w:highlight w:val="none"/>
        </w:rPr>
      </w:pPr>
    </w:p>
    <w:p>
      <w:pPr>
        <w:autoSpaceDE w:val="0"/>
        <w:autoSpaceDN w:val="0"/>
        <w:adjustRightInd w:val="0"/>
        <w:jc w:val="left"/>
        <w:rPr>
          <w:rFonts w:cs="Times New Roman"/>
          <w:color w:val="auto"/>
          <w:kern w:val="0"/>
          <w:sz w:val="28"/>
          <w:szCs w:val="28"/>
          <w:highlight w:val="none"/>
          <w:shd w:val="clear" w:color="auto" w:fill="FFFFFF"/>
        </w:rPr>
      </w:pPr>
    </w:p>
    <w:p>
      <w:pPr>
        <w:pStyle w:val="2"/>
        <w:numPr>
          <w:ilvl w:val="0"/>
          <w:numId w:val="0"/>
        </w:numPr>
        <w:jc w:val="center"/>
        <w:rPr>
          <w:color w:val="auto"/>
          <w:highlight w:val="none"/>
        </w:rPr>
      </w:pPr>
      <w:bookmarkStart w:id="133" w:name="_Toc5112"/>
      <w:bookmarkStart w:id="134" w:name="_Toc416"/>
      <w:r>
        <w:rPr>
          <w:rFonts w:hint="eastAsia"/>
          <w:color w:val="auto"/>
          <w:highlight w:val="none"/>
          <w:lang w:eastAsia="zh-CN"/>
        </w:rPr>
        <w:t>第五章</w:t>
      </w:r>
      <w:r>
        <w:rPr>
          <w:rFonts w:hint="eastAsia"/>
          <w:color w:val="auto"/>
          <w:highlight w:val="none"/>
          <w:lang w:val="en-US" w:eastAsia="zh-CN"/>
        </w:rPr>
        <w:t xml:space="preserve">  </w:t>
      </w:r>
      <w:r>
        <w:rPr>
          <w:color w:val="auto"/>
          <w:highlight w:val="none"/>
        </w:rPr>
        <w:t>特许经营协议框架草案</w:t>
      </w:r>
      <w:bookmarkEnd w:id="133"/>
      <w:bookmarkEnd w:id="134"/>
    </w:p>
    <w:p>
      <w:pPr>
        <w:spacing w:line="360" w:lineRule="auto"/>
        <w:rPr>
          <w:rFonts w:ascii="Calibri" w:hAnsi="Calibri"/>
          <w:color w:val="auto"/>
          <w:sz w:val="28"/>
          <w:szCs w:val="28"/>
          <w:highlight w:val="none"/>
        </w:rPr>
      </w:pPr>
      <w:r>
        <w:rPr>
          <w:rFonts w:hint="eastAsia" w:ascii="Calibri" w:hAnsi="Calibri"/>
          <w:color w:val="auto"/>
          <w:sz w:val="28"/>
          <w:szCs w:val="28"/>
          <w:highlight w:val="none"/>
        </w:rPr>
        <w:t>本项目特许经营协议框架草案如下：</w:t>
      </w:r>
    </w:p>
    <w:p>
      <w:pPr>
        <w:spacing w:line="360" w:lineRule="auto"/>
        <w:jc w:val="center"/>
        <w:rPr>
          <w:rFonts w:ascii="Calibri" w:hAnsi="Calibri"/>
          <w:b/>
          <w:color w:val="auto"/>
          <w:sz w:val="28"/>
          <w:szCs w:val="28"/>
          <w:highlight w:val="none"/>
        </w:rPr>
      </w:pPr>
      <w:r>
        <w:rPr>
          <w:rFonts w:hint="eastAsia" w:ascii="Calibri" w:hAnsi="Calibri"/>
          <w:b/>
          <w:color w:val="auto"/>
          <w:sz w:val="28"/>
          <w:szCs w:val="28"/>
          <w:highlight w:val="none"/>
        </w:rPr>
        <w:t>特许经营协议</w:t>
      </w:r>
    </w:p>
    <w:p>
      <w:pPr>
        <w:spacing w:line="360" w:lineRule="auto"/>
        <w:rPr>
          <w:rFonts w:ascii="Calibri" w:eastAsia="Calibri"/>
          <w:color w:val="auto"/>
          <w:sz w:val="28"/>
          <w:szCs w:val="28"/>
          <w:highlight w:val="none"/>
        </w:rPr>
      </w:pPr>
      <w:r>
        <w:rPr>
          <w:rFonts w:hint="eastAsia" w:ascii="Calibri" w:hAnsi="Calibri"/>
          <w:b/>
          <w:color w:val="auto"/>
          <w:sz w:val="28"/>
          <w:szCs w:val="28"/>
          <w:highlight w:val="none"/>
        </w:rPr>
        <w:t>第一章 总则</w:t>
      </w:r>
      <w:r>
        <w:rPr>
          <w:rFonts w:ascii="Calibri" w:eastAsia="Calibri"/>
          <w:b/>
          <w:color w:val="auto"/>
          <w:sz w:val="28"/>
          <w:szCs w:val="28"/>
          <w:highlight w:val="none"/>
        </w:rPr>
        <w:br w:type="textWrapping"/>
      </w:r>
      <w:r>
        <w:rPr>
          <w:rFonts w:ascii="Calibri" w:hAnsi="Calibri"/>
          <w:b/>
          <w:color w:val="auto"/>
          <w:sz w:val="28"/>
          <w:szCs w:val="28"/>
          <w:highlight w:val="none"/>
        </w:rPr>
        <w:t>1</w:t>
      </w:r>
      <w:r>
        <w:rPr>
          <w:rFonts w:hint="eastAsia" w:ascii="Calibri" w:hAnsi="Calibri"/>
          <w:b/>
          <w:color w:val="auto"/>
          <w:sz w:val="28"/>
          <w:szCs w:val="28"/>
          <w:highlight w:val="none"/>
        </w:rPr>
        <w:t>．</w:t>
      </w:r>
      <w:r>
        <w:rPr>
          <w:rFonts w:ascii="Calibri" w:hAnsi="Calibri"/>
          <w:b/>
          <w:color w:val="auto"/>
          <w:sz w:val="28"/>
          <w:szCs w:val="28"/>
          <w:highlight w:val="none"/>
        </w:rPr>
        <w:t>1</w:t>
      </w:r>
      <w:r>
        <w:rPr>
          <w:rFonts w:hint="eastAsia" w:ascii="Calibri" w:hAnsi="Calibri"/>
          <w:color w:val="auto"/>
          <w:sz w:val="28"/>
          <w:szCs w:val="28"/>
          <w:highlight w:val="none"/>
        </w:rPr>
        <w:t>为了规范</w:t>
      </w:r>
      <w:r>
        <w:rPr>
          <w:rFonts w:hint="eastAsia" w:ascii="Calibri" w:hAnsi="Calibri"/>
          <w:color w:val="auto"/>
          <w:sz w:val="28"/>
          <w:szCs w:val="28"/>
          <w:highlight w:val="none"/>
          <w:u w:val="single"/>
        </w:rPr>
        <w:t>阳山县行政管辖区域内</w:t>
      </w:r>
      <w:r>
        <w:rPr>
          <w:rFonts w:hint="eastAsia" w:ascii="Calibri" w:hAnsi="Calibri"/>
          <w:color w:val="auto"/>
          <w:sz w:val="28"/>
          <w:szCs w:val="28"/>
          <w:highlight w:val="none"/>
        </w:rPr>
        <w:t>管道燃气特许经营活动，加强市场监管，保障社会公共利益和公共安全，根据《基础设施和公用事业特许经营管理办法》和其他相关法律、法规，由协议双方按照法定程序于</w:t>
      </w:r>
      <w:r>
        <w:rPr>
          <w:rFonts w:ascii="Calibri" w:hAnsi="Calibri"/>
          <w:color w:val="auto"/>
          <w:sz w:val="28"/>
          <w:szCs w:val="28"/>
          <w:highlight w:val="none"/>
          <w:u w:val="single"/>
        </w:rPr>
        <w:t xml:space="preserve">2016 </w:t>
      </w:r>
      <w:r>
        <w:rPr>
          <w:rFonts w:hint="eastAsia" w:ascii="Calibri" w:hAnsi="Calibri"/>
          <w:color w:val="auto"/>
          <w:sz w:val="28"/>
          <w:szCs w:val="28"/>
          <w:highlight w:val="none"/>
          <w:u w:val="single"/>
        </w:rPr>
        <w:t>年xx月xx日</w:t>
      </w:r>
      <w:r>
        <w:rPr>
          <w:rFonts w:hint="eastAsia" w:ascii="Calibri" w:hAnsi="Calibri"/>
          <w:color w:val="auto"/>
          <w:sz w:val="28"/>
          <w:szCs w:val="28"/>
          <w:highlight w:val="none"/>
        </w:rPr>
        <w:t>在中国广东省阳山县签署本协议。</w:t>
      </w:r>
      <w:r>
        <w:rPr>
          <w:rFonts w:ascii="Calibri" w:eastAsia="Calibri"/>
          <w:color w:val="auto"/>
          <w:sz w:val="28"/>
          <w:szCs w:val="28"/>
          <w:highlight w:val="none"/>
        </w:rPr>
        <w:br w:type="textWrapping"/>
      </w:r>
      <w:r>
        <w:rPr>
          <w:rFonts w:ascii="Calibri" w:hAnsi="Calibri"/>
          <w:b/>
          <w:color w:val="auto"/>
          <w:sz w:val="28"/>
          <w:szCs w:val="28"/>
          <w:highlight w:val="none"/>
        </w:rPr>
        <w:t>1</w:t>
      </w:r>
      <w:r>
        <w:rPr>
          <w:rFonts w:hint="eastAsia" w:ascii="Calibri" w:hAnsi="Calibri"/>
          <w:b/>
          <w:color w:val="auto"/>
          <w:sz w:val="28"/>
          <w:szCs w:val="28"/>
          <w:highlight w:val="none"/>
        </w:rPr>
        <w:t>．</w:t>
      </w:r>
      <w:r>
        <w:rPr>
          <w:rFonts w:ascii="Calibri" w:hAnsi="Calibri"/>
          <w:b/>
          <w:color w:val="auto"/>
          <w:sz w:val="28"/>
          <w:szCs w:val="28"/>
          <w:highlight w:val="none"/>
        </w:rPr>
        <w:t>2</w:t>
      </w:r>
      <w:r>
        <w:rPr>
          <w:rFonts w:hint="eastAsia" w:ascii="Calibri" w:hAnsi="Calibri"/>
          <w:b/>
          <w:color w:val="auto"/>
          <w:sz w:val="28"/>
          <w:szCs w:val="28"/>
          <w:highlight w:val="none"/>
        </w:rPr>
        <w:t>　协议双方分别为：</w:t>
      </w:r>
    </w:p>
    <w:p>
      <w:pPr>
        <w:spacing w:line="360" w:lineRule="auto"/>
        <w:ind w:firstLine="562" w:firstLineChars="200"/>
        <w:rPr>
          <w:rFonts w:ascii="Calibri" w:eastAsia="Calibri"/>
          <w:color w:val="auto"/>
          <w:sz w:val="28"/>
          <w:szCs w:val="28"/>
          <w:highlight w:val="none"/>
        </w:rPr>
      </w:pPr>
      <w:r>
        <w:rPr>
          <w:rFonts w:hint="eastAsia" w:ascii="Calibri" w:hAnsi="Calibri"/>
          <w:b/>
          <w:color w:val="auto"/>
          <w:sz w:val="28"/>
          <w:szCs w:val="28"/>
          <w:highlight w:val="none"/>
        </w:rPr>
        <w:t>甲方：</w:t>
      </w:r>
    </w:p>
    <w:p>
      <w:pPr>
        <w:spacing w:line="360" w:lineRule="auto"/>
        <w:ind w:firstLine="560" w:firstLineChars="200"/>
        <w:rPr>
          <w:rFonts w:ascii="Calibri" w:eastAsia="Calibri"/>
          <w:color w:val="auto"/>
          <w:sz w:val="28"/>
          <w:szCs w:val="28"/>
          <w:highlight w:val="none"/>
        </w:rPr>
      </w:pPr>
      <w:r>
        <w:rPr>
          <w:rFonts w:hint="eastAsia" w:ascii="Calibri" w:hAnsi="Calibri"/>
          <w:color w:val="auto"/>
          <w:sz w:val="28"/>
          <w:szCs w:val="28"/>
          <w:highlight w:val="none"/>
        </w:rPr>
        <w:t>法定地址：</w:t>
      </w:r>
    </w:p>
    <w:p>
      <w:pPr>
        <w:spacing w:line="360" w:lineRule="auto"/>
        <w:ind w:firstLine="560" w:firstLineChars="200"/>
        <w:rPr>
          <w:rFonts w:ascii="Calibri" w:hAnsi="Calibri"/>
          <w:color w:val="auto"/>
          <w:sz w:val="28"/>
          <w:szCs w:val="28"/>
          <w:highlight w:val="none"/>
        </w:rPr>
      </w:pPr>
      <w:r>
        <w:rPr>
          <w:rFonts w:hint="eastAsia" w:ascii="Calibri" w:hAnsi="Calibri"/>
          <w:color w:val="auto"/>
          <w:sz w:val="28"/>
          <w:szCs w:val="28"/>
          <w:highlight w:val="none"/>
        </w:rPr>
        <w:t>法定代表人：</w:t>
      </w:r>
    </w:p>
    <w:p>
      <w:pPr>
        <w:spacing w:line="360" w:lineRule="auto"/>
        <w:ind w:firstLine="562" w:firstLineChars="200"/>
        <w:rPr>
          <w:rFonts w:ascii="Calibri" w:eastAsia="Calibri"/>
          <w:b/>
          <w:color w:val="auto"/>
          <w:sz w:val="28"/>
          <w:szCs w:val="28"/>
          <w:highlight w:val="none"/>
        </w:rPr>
      </w:pPr>
      <w:r>
        <w:rPr>
          <w:rFonts w:hint="eastAsia" w:ascii="Calibri" w:hAnsi="Calibri"/>
          <w:b/>
          <w:color w:val="auto"/>
          <w:sz w:val="28"/>
          <w:szCs w:val="28"/>
          <w:highlight w:val="none"/>
        </w:rPr>
        <w:t>乙方：</w:t>
      </w:r>
    </w:p>
    <w:p>
      <w:pPr>
        <w:spacing w:line="360" w:lineRule="auto"/>
        <w:ind w:firstLine="560" w:firstLineChars="200"/>
        <w:rPr>
          <w:rFonts w:ascii="Calibri" w:eastAsia="Calibri"/>
          <w:color w:val="auto"/>
          <w:sz w:val="28"/>
          <w:szCs w:val="28"/>
          <w:highlight w:val="none"/>
        </w:rPr>
      </w:pPr>
      <w:r>
        <w:rPr>
          <w:rFonts w:hint="eastAsia" w:ascii="Calibri" w:hAnsi="Calibri"/>
          <w:color w:val="auto"/>
          <w:sz w:val="28"/>
          <w:szCs w:val="28"/>
          <w:highlight w:val="none"/>
        </w:rPr>
        <w:t>法定地址：</w:t>
      </w:r>
    </w:p>
    <w:p>
      <w:pPr>
        <w:spacing w:line="360" w:lineRule="auto"/>
        <w:ind w:firstLine="560" w:firstLineChars="200"/>
        <w:rPr>
          <w:rFonts w:ascii="Calibri" w:hAnsi="Calibri"/>
          <w:color w:val="auto"/>
          <w:sz w:val="28"/>
          <w:szCs w:val="28"/>
          <w:highlight w:val="none"/>
        </w:rPr>
      </w:pPr>
      <w:r>
        <w:rPr>
          <w:rFonts w:hint="eastAsia" w:ascii="Calibri" w:hAnsi="Calibri"/>
          <w:color w:val="auto"/>
          <w:sz w:val="28"/>
          <w:szCs w:val="28"/>
          <w:highlight w:val="none"/>
        </w:rPr>
        <w:t>法定代表人：</w:t>
      </w:r>
    </w:p>
    <w:p>
      <w:pPr>
        <w:spacing w:line="360" w:lineRule="auto"/>
        <w:rPr>
          <w:rFonts w:ascii="Calibri" w:eastAsia="Calibri"/>
          <w:b/>
          <w:color w:val="auto"/>
          <w:sz w:val="28"/>
          <w:szCs w:val="28"/>
          <w:highlight w:val="none"/>
        </w:rPr>
      </w:pPr>
      <w:r>
        <w:rPr>
          <w:rFonts w:ascii="Calibri" w:hAnsi="Calibri"/>
          <w:b/>
          <w:color w:val="auto"/>
          <w:sz w:val="28"/>
          <w:szCs w:val="28"/>
          <w:highlight w:val="none"/>
        </w:rPr>
        <w:t>1</w:t>
      </w:r>
      <w:r>
        <w:rPr>
          <w:rFonts w:hint="eastAsia" w:ascii="Calibri" w:hAnsi="Calibri"/>
          <w:b/>
          <w:color w:val="auto"/>
          <w:sz w:val="28"/>
          <w:szCs w:val="28"/>
          <w:highlight w:val="none"/>
        </w:rPr>
        <w:t>．</w:t>
      </w:r>
      <w:r>
        <w:rPr>
          <w:rFonts w:ascii="Calibri" w:hAnsi="Calibri"/>
          <w:b/>
          <w:color w:val="auto"/>
          <w:sz w:val="28"/>
          <w:szCs w:val="28"/>
          <w:highlight w:val="none"/>
        </w:rPr>
        <w:t>3</w:t>
      </w:r>
      <w:r>
        <w:rPr>
          <w:rFonts w:hint="eastAsia" w:ascii="Calibri" w:hAnsi="Calibri"/>
          <w:b/>
          <w:color w:val="auto"/>
          <w:sz w:val="28"/>
          <w:szCs w:val="28"/>
          <w:highlight w:val="none"/>
        </w:rPr>
        <w:t>　特许经营原则</w:t>
      </w:r>
    </w:p>
    <w:p>
      <w:pPr>
        <w:spacing w:line="360" w:lineRule="auto"/>
        <w:ind w:firstLine="560" w:firstLineChars="200"/>
        <w:rPr>
          <w:rFonts w:ascii="Calibri" w:hAnsi="Calibri"/>
          <w:color w:val="auto"/>
          <w:sz w:val="28"/>
          <w:szCs w:val="28"/>
          <w:highlight w:val="none"/>
        </w:rPr>
      </w:pPr>
      <w:r>
        <w:rPr>
          <w:rFonts w:hint="eastAsia" w:ascii="Calibri" w:hAnsi="Calibri"/>
          <w:color w:val="auto"/>
          <w:sz w:val="28"/>
          <w:szCs w:val="28"/>
          <w:highlight w:val="none"/>
        </w:rPr>
        <w:t>甲乙双方应当遵循以下原则：</w:t>
      </w:r>
    </w:p>
    <w:p>
      <w:pPr>
        <w:numPr>
          <w:ilvl w:val="0"/>
          <w:numId w:val="3"/>
        </w:numPr>
        <w:spacing w:line="360" w:lineRule="auto"/>
        <w:ind w:firstLine="560" w:firstLineChars="200"/>
        <w:rPr>
          <w:rFonts w:ascii="Calibri" w:hAnsi="Calibri"/>
          <w:color w:val="auto"/>
          <w:sz w:val="28"/>
          <w:szCs w:val="28"/>
          <w:highlight w:val="none"/>
        </w:rPr>
      </w:pPr>
      <w:r>
        <w:rPr>
          <w:rFonts w:hint="eastAsia" w:ascii="Calibri" w:hAnsi="Calibri"/>
          <w:color w:val="auto"/>
          <w:sz w:val="28"/>
          <w:szCs w:val="28"/>
          <w:highlight w:val="none"/>
        </w:rPr>
        <w:t>公开、公平、公正和公共利益优先；</w:t>
      </w:r>
    </w:p>
    <w:p>
      <w:pPr>
        <w:numPr>
          <w:ilvl w:val="0"/>
          <w:numId w:val="3"/>
        </w:numPr>
        <w:spacing w:line="360" w:lineRule="auto"/>
        <w:ind w:firstLine="560" w:firstLineChars="200"/>
        <w:rPr>
          <w:rFonts w:ascii="Calibri" w:eastAsia="Calibri"/>
          <w:color w:val="auto"/>
          <w:sz w:val="28"/>
          <w:szCs w:val="28"/>
          <w:highlight w:val="none"/>
        </w:rPr>
      </w:pPr>
      <w:r>
        <w:rPr>
          <w:rFonts w:hint="eastAsia" w:ascii="Calibri" w:hAnsi="Calibri"/>
          <w:color w:val="auto"/>
          <w:sz w:val="28"/>
          <w:szCs w:val="28"/>
          <w:highlight w:val="none"/>
        </w:rPr>
        <w:t>遵守中国的法律；</w:t>
      </w:r>
    </w:p>
    <w:p>
      <w:pPr>
        <w:numPr>
          <w:ilvl w:val="0"/>
          <w:numId w:val="3"/>
        </w:numPr>
        <w:spacing w:line="360" w:lineRule="auto"/>
        <w:ind w:firstLine="560" w:firstLineChars="200"/>
        <w:rPr>
          <w:rFonts w:ascii="Calibri" w:eastAsia="Calibri"/>
          <w:color w:val="auto"/>
          <w:sz w:val="28"/>
          <w:szCs w:val="28"/>
          <w:highlight w:val="none"/>
        </w:rPr>
      </w:pPr>
      <w:r>
        <w:rPr>
          <w:rFonts w:hint="eastAsia" w:ascii="Calibri" w:hAnsi="Calibri"/>
          <w:color w:val="auto"/>
          <w:sz w:val="28"/>
          <w:szCs w:val="28"/>
          <w:highlight w:val="none"/>
        </w:rPr>
        <w:t>符合城市规划及燃气专业规划；</w:t>
      </w:r>
    </w:p>
    <w:p>
      <w:pPr>
        <w:numPr>
          <w:ilvl w:val="0"/>
          <w:numId w:val="3"/>
        </w:numPr>
        <w:spacing w:line="360" w:lineRule="auto"/>
        <w:ind w:firstLine="560" w:firstLineChars="200"/>
        <w:rPr>
          <w:rFonts w:ascii="Calibri" w:eastAsia="Calibri"/>
          <w:color w:val="auto"/>
          <w:sz w:val="28"/>
          <w:szCs w:val="28"/>
          <w:highlight w:val="none"/>
        </w:rPr>
      </w:pPr>
      <w:r>
        <w:rPr>
          <w:rFonts w:hint="eastAsia" w:ascii="Calibri" w:hAnsi="Calibri"/>
          <w:color w:val="auto"/>
          <w:sz w:val="28"/>
          <w:szCs w:val="28"/>
          <w:highlight w:val="none"/>
        </w:rPr>
        <w:t>使用户获得优质服务、公平和价格合理的燃气供应；</w:t>
      </w:r>
    </w:p>
    <w:p>
      <w:pPr>
        <w:numPr>
          <w:ilvl w:val="0"/>
          <w:numId w:val="3"/>
        </w:numPr>
        <w:spacing w:line="360" w:lineRule="auto"/>
        <w:ind w:firstLine="560" w:firstLineChars="200"/>
        <w:rPr>
          <w:rFonts w:ascii="Calibri" w:eastAsia="Calibri"/>
          <w:color w:val="auto"/>
          <w:sz w:val="28"/>
          <w:szCs w:val="28"/>
          <w:highlight w:val="none"/>
        </w:rPr>
      </w:pPr>
      <w:r>
        <w:rPr>
          <w:rFonts w:hint="eastAsia" w:ascii="Calibri" w:hAnsi="Calibri"/>
          <w:color w:val="auto"/>
          <w:sz w:val="28"/>
          <w:szCs w:val="28"/>
          <w:highlight w:val="none"/>
        </w:rPr>
        <w:t>有利于保障管道燃气安全稳定供应，提高管理和科技水平；</w:t>
      </w:r>
    </w:p>
    <w:p>
      <w:pPr>
        <w:numPr>
          <w:ilvl w:val="0"/>
          <w:numId w:val="3"/>
        </w:numPr>
        <w:spacing w:line="360" w:lineRule="auto"/>
        <w:ind w:firstLine="560" w:firstLineChars="200"/>
        <w:rPr>
          <w:rFonts w:ascii="Calibri" w:eastAsia="Calibri"/>
          <w:b/>
          <w:color w:val="auto"/>
          <w:sz w:val="28"/>
          <w:szCs w:val="28"/>
          <w:highlight w:val="none"/>
        </w:rPr>
      </w:pPr>
      <w:r>
        <w:rPr>
          <w:rFonts w:hint="eastAsia" w:ascii="Calibri" w:hAnsi="Calibri"/>
          <w:color w:val="auto"/>
          <w:sz w:val="28"/>
          <w:szCs w:val="28"/>
          <w:highlight w:val="none"/>
        </w:rPr>
        <w:t>有利于高效利用清洁能源，促进燃气事业的持续发展。</w:t>
      </w:r>
      <w:r>
        <w:rPr>
          <w:rFonts w:ascii="Calibri" w:eastAsia="Calibri"/>
          <w:color w:val="auto"/>
          <w:sz w:val="28"/>
          <w:szCs w:val="28"/>
          <w:highlight w:val="none"/>
        </w:rPr>
        <w:br w:type="textWrapping"/>
      </w:r>
      <w:r>
        <w:rPr>
          <w:rFonts w:hint="eastAsia" w:ascii="Calibri" w:hAnsi="Calibri"/>
          <w:b/>
          <w:color w:val="auto"/>
          <w:sz w:val="28"/>
          <w:szCs w:val="28"/>
          <w:highlight w:val="none"/>
        </w:rPr>
        <w:t>第二章　定义与解释</w:t>
      </w:r>
    </w:p>
    <w:p>
      <w:pPr>
        <w:spacing w:line="360" w:lineRule="auto"/>
        <w:ind w:firstLine="560" w:firstLineChars="200"/>
        <w:rPr>
          <w:rFonts w:ascii="Calibri" w:hAnsi="Calibri"/>
          <w:color w:val="auto"/>
          <w:sz w:val="28"/>
          <w:szCs w:val="28"/>
          <w:highlight w:val="none"/>
        </w:rPr>
      </w:pPr>
      <w:r>
        <w:rPr>
          <w:rFonts w:hint="eastAsia" w:ascii="Calibri" w:hAnsi="Calibri"/>
          <w:color w:val="auto"/>
          <w:sz w:val="28"/>
          <w:szCs w:val="28"/>
          <w:highlight w:val="none"/>
        </w:rPr>
        <w:t>本协议中下列名词或术语的含义遵从本章定义的意义或解释。</w:t>
      </w:r>
    </w:p>
    <w:p>
      <w:pPr>
        <w:spacing w:line="360" w:lineRule="auto"/>
        <w:rPr>
          <w:rFonts w:ascii="Calibri" w:hAnsi="Calibri"/>
          <w:color w:val="auto"/>
          <w:sz w:val="28"/>
          <w:szCs w:val="28"/>
          <w:highlight w:val="none"/>
        </w:rPr>
      </w:pPr>
      <w:r>
        <w:rPr>
          <w:rFonts w:ascii="Calibri" w:hAnsi="Calibri"/>
          <w:b/>
          <w:color w:val="auto"/>
          <w:sz w:val="28"/>
          <w:szCs w:val="28"/>
          <w:highlight w:val="none"/>
        </w:rPr>
        <w:t>2</w:t>
      </w:r>
      <w:r>
        <w:rPr>
          <w:rFonts w:hint="eastAsia" w:ascii="Calibri" w:hAnsi="Calibri"/>
          <w:b/>
          <w:color w:val="auto"/>
          <w:sz w:val="28"/>
          <w:szCs w:val="28"/>
          <w:highlight w:val="none"/>
        </w:rPr>
        <w:t>．</w:t>
      </w:r>
      <w:r>
        <w:rPr>
          <w:rFonts w:ascii="Calibri" w:hAnsi="Calibri"/>
          <w:b/>
          <w:color w:val="auto"/>
          <w:sz w:val="28"/>
          <w:szCs w:val="28"/>
          <w:highlight w:val="none"/>
        </w:rPr>
        <w:t>1</w:t>
      </w:r>
      <w:r>
        <w:rPr>
          <w:rFonts w:hint="eastAsia" w:ascii="Calibri" w:hAnsi="Calibri"/>
          <w:b/>
          <w:color w:val="auto"/>
          <w:sz w:val="28"/>
          <w:szCs w:val="28"/>
          <w:highlight w:val="none"/>
        </w:rPr>
        <w:t>　</w:t>
      </w:r>
      <w:r>
        <w:rPr>
          <w:rFonts w:hint="eastAsia" w:ascii="Calibri" w:hAnsi="Calibri"/>
          <w:color w:val="auto"/>
          <w:sz w:val="28"/>
          <w:szCs w:val="28"/>
          <w:highlight w:val="none"/>
        </w:rPr>
        <w:t>中国：指中华人民共和国，仅为本协议之目的，不包括香港特别行政区、澳门特别行政区和台湾地区。</w:t>
      </w:r>
    </w:p>
    <w:p>
      <w:pPr>
        <w:spacing w:line="360" w:lineRule="auto"/>
        <w:rPr>
          <w:rFonts w:ascii="Calibri" w:hAnsi="Calibri"/>
          <w:color w:val="auto"/>
          <w:sz w:val="28"/>
          <w:szCs w:val="28"/>
          <w:highlight w:val="none"/>
        </w:rPr>
      </w:pPr>
      <w:r>
        <w:rPr>
          <w:rFonts w:ascii="Calibri" w:hAnsi="Calibri"/>
          <w:b/>
          <w:color w:val="auto"/>
          <w:sz w:val="28"/>
          <w:szCs w:val="28"/>
          <w:highlight w:val="none"/>
        </w:rPr>
        <w:t>2</w:t>
      </w:r>
      <w:r>
        <w:rPr>
          <w:rFonts w:hint="eastAsia" w:ascii="Calibri" w:hAnsi="Calibri"/>
          <w:b/>
          <w:color w:val="auto"/>
          <w:sz w:val="28"/>
          <w:szCs w:val="28"/>
          <w:highlight w:val="none"/>
        </w:rPr>
        <w:t>．</w:t>
      </w:r>
      <w:r>
        <w:rPr>
          <w:rFonts w:ascii="Calibri" w:hAnsi="Calibri"/>
          <w:b/>
          <w:color w:val="auto"/>
          <w:sz w:val="28"/>
          <w:szCs w:val="28"/>
          <w:highlight w:val="none"/>
        </w:rPr>
        <w:t>2</w:t>
      </w:r>
      <w:r>
        <w:rPr>
          <w:rFonts w:hint="eastAsia" w:ascii="Calibri" w:hAnsi="Calibri"/>
          <w:b/>
          <w:color w:val="auto"/>
          <w:sz w:val="28"/>
          <w:szCs w:val="28"/>
          <w:highlight w:val="none"/>
        </w:rPr>
        <w:t>　</w:t>
      </w:r>
      <w:r>
        <w:rPr>
          <w:rFonts w:hint="eastAsia" w:ascii="Calibri" w:hAnsi="Calibri"/>
          <w:color w:val="auto"/>
          <w:sz w:val="28"/>
          <w:szCs w:val="28"/>
          <w:highlight w:val="none"/>
        </w:rPr>
        <w:t>法律：指所有适用的中国法律、行政法规、地方性法规、自治条例和单行条例、司法解释。</w:t>
      </w:r>
    </w:p>
    <w:p>
      <w:pPr>
        <w:spacing w:line="360" w:lineRule="auto"/>
        <w:rPr>
          <w:rFonts w:ascii="Calibri" w:hAnsi="Calibri"/>
          <w:color w:val="auto"/>
          <w:sz w:val="28"/>
          <w:szCs w:val="28"/>
          <w:highlight w:val="none"/>
        </w:rPr>
      </w:pPr>
      <w:r>
        <w:rPr>
          <w:rFonts w:ascii="Calibri" w:hAnsi="Calibri"/>
          <w:b/>
          <w:color w:val="auto"/>
          <w:sz w:val="28"/>
          <w:szCs w:val="28"/>
          <w:highlight w:val="none"/>
        </w:rPr>
        <w:t>2</w:t>
      </w:r>
      <w:r>
        <w:rPr>
          <w:rFonts w:hint="eastAsia" w:ascii="Calibri" w:hAnsi="Calibri"/>
          <w:b/>
          <w:color w:val="auto"/>
          <w:sz w:val="28"/>
          <w:szCs w:val="28"/>
          <w:highlight w:val="none"/>
        </w:rPr>
        <w:t>．</w:t>
      </w:r>
      <w:r>
        <w:rPr>
          <w:rFonts w:ascii="Calibri" w:hAnsi="Calibri"/>
          <w:b/>
          <w:color w:val="auto"/>
          <w:sz w:val="28"/>
          <w:szCs w:val="28"/>
          <w:highlight w:val="none"/>
        </w:rPr>
        <w:t>3</w:t>
      </w:r>
      <w:r>
        <w:rPr>
          <w:rFonts w:hint="eastAsia" w:ascii="Calibri" w:hAnsi="Calibri"/>
          <w:b/>
          <w:color w:val="auto"/>
          <w:sz w:val="28"/>
          <w:szCs w:val="28"/>
          <w:highlight w:val="none"/>
        </w:rPr>
        <w:t>　</w:t>
      </w:r>
      <w:r>
        <w:rPr>
          <w:rFonts w:hint="eastAsia" w:ascii="Calibri" w:hAnsi="Calibri"/>
          <w:color w:val="auto"/>
          <w:sz w:val="28"/>
          <w:szCs w:val="28"/>
          <w:highlight w:val="none"/>
        </w:rPr>
        <w:t>燃气：是指供给民用生活、商业经营和工业生产等使用者使用的液化石油气、天然气、人工煤气及其他气体燃料。</w:t>
      </w:r>
    </w:p>
    <w:p>
      <w:pPr>
        <w:spacing w:line="360" w:lineRule="auto"/>
        <w:rPr>
          <w:rFonts w:ascii="Calibri" w:hAnsi="Calibri"/>
          <w:color w:val="auto"/>
          <w:sz w:val="28"/>
          <w:szCs w:val="28"/>
          <w:highlight w:val="none"/>
        </w:rPr>
      </w:pPr>
      <w:r>
        <w:rPr>
          <w:rFonts w:ascii="Calibri" w:hAnsi="Calibri"/>
          <w:b/>
          <w:color w:val="auto"/>
          <w:sz w:val="28"/>
          <w:szCs w:val="28"/>
          <w:highlight w:val="none"/>
        </w:rPr>
        <w:t>2</w:t>
      </w:r>
      <w:r>
        <w:rPr>
          <w:rFonts w:hint="eastAsia" w:ascii="Calibri" w:hAnsi="Calibri"/>
          <w:b/>
          <w:color w:val="auto"/>
          <w:sz w:val="28"/>
          <w:szCs w:val="28"/>
          <w:highlight w:val="none"/>
        </w:rPr>
        <w:t>．</w:t>
      </w:r>
      <w:r>
        <w:rPr>
          <w:rFonts w:ascii="Calibri" w:hAnsi="Calibri"/>
          <w:b/>
          <w:color w:val="auto"/>
          <w:sz w:val="28"/>
          <w:szCs w:val="28"/>
          <w:highlight w:val="none"/>
        </w:rPr>
        <w:t>4</w:t>
      </w:r>
      <w:r>
        <w:rPr>
          <w:rFonts w:hint="eastAsia" w:ascii="Calibri" w:hAnsi="Calibri"/>
          <w:b/>
          <w:color w:val="auto"/>
          <w:sz w:val="28"/>
          <w:szCs w:val="28"/>
          <w:highlight w:val="none"/>
        </w:rPr>
        <w:t>　</w:t>
      </w:r>
      <w:r>
        <w:rPr>
          <w:rFonts w:hint="eastAsia" w:ascii="Calibri" w:hAnsi="Calibri"/>
          <w:color w:val="auto"/>
          <w:sz w:val="28"/>
          <w:szCs w:val="28"/>
          <w:highlight w:val="none"/>
        </w:rPr>
        <w:t>管道燃气：以管道输送方式向使用者提供燃气。</w:t>
      </w:r>
    </w:p>
    <w:p>
      <w:pPr>
        <w:spacing w:line="360" w:lineRule="auto"/>
        <w:rPr>
          <w:rFonts w:ascii="Calibri" w:hAnsi="Calibri"/>
          <w:color w:val="auto"/>
          <w:sz w:val="28"/>
          <w:szCs w:val="28"/>
          <w:highlight w:val="none"/>
        </w:rPr>
      </w:pPr>
      <w:r>
        <w:rPr>
          <w:rFonts w:ascii="Calibri" w:hAnsi="Calibri"/>
          <w:b/>
          <w:color w:val="auto"/>
          <w:sz w:val="28"/>
          <w:szCs w:val="28"/>
          <w:highlight w:val="none"/>
        </w:rPr>
        <w:t>2</w:t>
      </w:r>
      <w:r>
        <w:rPr>
          <w:rFonts w:hint="eastAsia" w:ascii="Calibri" w:hAnsi="Calibri"/>
          <w:b/>
          <w:color w:val="auto"/>
          <w:sz w:val="28"/>
          <w:szCs w:val="28"/>
          <w:highlight w:val="none"/>
        </w:rPr>
        <w:t>．</w:t>
      </w:r>
      <w:r>
        <w:rPr>
          <w:rFonts w:ascii="Calibri" w:hAnsi="Calibri"/>
          <w:b/>
          <w:color w:val="auto"/>
          <w:sz w:val="28"/>
          <w:szCs w:val="28"/>
          <w:highlight w:val="none"/>
        </w:rPr>
        <w:t>5</w:t>
      </w:r>
      <w:r>
        <w:rPr>
          <w:rFonts w:hint="eastAsia" w:ascii="Calibri" w:hAnsi="Calibri"/>
          <w:b/>
          <w:color w:val="auto"/>
          <w:sz w:val="28"/>
          <w:szCs w:val="28"/>
          <w:highlight w:val="none"/>
        </w:rPr>
        <w:t>　</w:t>
      </w:r>
      <w:r>
        <w:rPr>
          <w:rFonts w:hint="eastAsia" w:ascii="Calibri" w:hAnsi="Calibri"/>
          <w:color w:val="auto"/>
          <w:sz w:val="28"/>
          <w:szCs w:val="28"/>
          <w:highlight w:val="none"/>
        </w:rPr>
        <w:t>管道燃气业务：提供管道燃气及相关服务的经营业务。</w:t>
      </w:r>
    </w:p>
    <w:p>
      <w:pPr>
        <w:spacing w:line="360" w:lineRule="auto"/>
        <w:rPr>
          <w:rFonts w:ascii="Calibri" w:hAnsi="Calibri"/>
          <w:color w:val="auto"/>
          <w:sz w:val="28"/>
          <w:szCs w:val="28"/>
          <w:highlight w:val="none"/>
        </w:rPr>
      </w:pPr>
      <w:r>
        <w:rPr>
          <w:rFonts w:ascii="Calibri" w:hAnsi="Calibri"/>
          <w:b/>
          <w:color w:val="auto"/>
          <w:sz w:val="28"/>
          <w:szCs w:val="28"/>
          <w:highlight w:val="none"/>
        </w:rPr>
        <w:t>2</w:t>
      </w:r>
      <w:r>
        <w:rPr>
          <w:rFonts w:hint="eastAsia" w:ascii="Calibri" w:hAnsi="Calibri"/>
          <w:b/>
          <w:color w:val="auto"/>
          <w:sz w:val="28"/>
          <w:szCs w:val="28"/>
          <w:highlight w:val="none"/>
        </w:rPr>
        <w:t>．</w:t>
      </w:r>
      <w:r>
        <w:rPr>
          <w:rFonts w:ascii="Calibri" w:hAnsi="Calibri"/>
          <w:b/>
          <w:color w:val="auto"/>
          <w:sz w:val="28"/>
          <w:szCs w:val="28"/>
          <w:highlight w:val="none"/>
        </w:rPr>
        <w:t>6</w:t>
      </w:r>
      <w:r>
        <w:rPr>
          <w:rFonts w:hint="eastAsia" w:ascii="Calibri" w:hAnsi="Calibri"/>
          <w:b/>
          <w:color w:val="auto"/>
          <w:sz w:val="28"/>
          <w:szCs w:val="28"/>
          <w:highlight w:val="none"/>
        </w:rPr>
        <w:t>　</w:t>
      </w:r>
      <w:r>
        <w:rPr>
          <w:rFonts w:hint="eastAsia" w:ascii="Calibri" w:hAnsi="Calibri"/>
          <w:color w:val="auto"/>
          <w:sz w:val="28"/>
          <w:szCs w:val="28"/>
          <w:highlight w:val="none"/>
        </w:rPr>
        <w:t>燃气管网设施：指用于输送燃气的干线、支线、庭院等管道及管道连接的调压站（箱）和为其配套的设备、设施。</w:t>
      </w:r>
    </w:p>
    <w:p>
      <w:pPr>
        <w:spacing w:line="360" w:lineRule="auto"/>
        <w:rPr>
          <w:rFonts w:ascii="Calibri" w:hAnsi="Calibri"/>
          <w:color w:val="auto"/>
          <w:sz w:val="28"/>
          <w:szCs w:val="28"/>
          <w:highlight w:val="none"/>
        </w:rPr>
      </w:pPr>
      <w:r>
        <w:rPr>
          <w:rFonts w:ascii="Calibri" w:hAnsi="Calibri"/>
          <w:b/>
          <w:color w:val="auto"/>
          <w:sz w:val="28"/>
          <w:szCs w:val="28"/>
          <w:highlight w:val="none"/>
        </w:rPr>
        <w:t>2</w:t>
      </w:r>
      <w:r>
        <w:rPr>
          <w:rFonts w:hint="eastAsia" w:ascii="Calibri" w:hAnsi="Calibri"/>
          <w:b/>
          <w:color w:val="auto"/>
          <w:sz w:val="28"/>
          <w:szCs w:val="28"/>
          <w:highlight w:val="none"/>
        </w:rPr>
        <w:t>．</w:t>
      </w:r>
      <w:r>
        <w:rPr>
          <w:rFonts w:ascii="Calibri" w:hAnsi="Calibri"/>
          <w:b/>
          <w:color w:val="auto"/>
          <w:sz w:val="28"/>
          <w:szCs w:val="28"/>
          <w:highlight w:val="none"/>
        </w:rPr>
        <w:t>7</w:t>
      </w:r>
      <w:r>
        <w:rPr>
          <w:rFonts w:hint="eastAsia" w:ascii="Calibri" w:hAnsi="Calibri"/>
          <w:b/>
          <w:color w:val="auto"/>
          <w:sz w:val="28"/>
          <w:szCs w:val="28"/>
          <w:highlight w:val="none"/>
        </w:rPr>
        <w:t>　</w:t>
      </w:r>
      <w:r>
        <w:rPr>
          <w:rFonts w:hint="eastAsia" w:ascii="Calibri" w:hAnsi="Calibri"/>
          <w:color w:val="auto"/>
          <w:sz w:val="28"/>
          <w:szCs w:val="28"/>
          <w:highlight w:val="none"/>
        </w:rPr>
        <w:t>市政管道燃气设施：市政规划红线外所有燃气管道设施。</w:t>
      </w:r>
    </w:p>
    <w:p>
      <w:pPr>
        <w:spacing w:line="360" w:lineRule="auto"/>
        <w:rPr>
          <w:rFonts w:ascii="Calibri" w:hAnsi="Calibri"/>
          <w:color w:val="auto"/>
          <w:sz w:val="28"/>
          <w:szCs w:val="28"/>
          <w:highlight w:val="none"/>
        </w:rPr>
      </w:pPr>
      <w:r>
        <w:rPr>
          <w:rFonts w:ascii="Calibri" w:hAnsi="Calibri"/>
          <w:b/>
          <w:color w:val="auto"/>
          <w:sz w:val="28"/>
          <w:szCs w:val="28"/>
          <w:highlight w:val="none"/>
        </w:rPr>
        <w:t>2</w:t>
      </w:r>
      <w:r>
        <w:rPr>
          <w:rFonts w:hint="eastAsia" w:ascii="Calibri" w:hAnsi="Calibri"/>
          <w:b/>
          <w:color w:val="auto"/>
          <w:sz w:val="28"/>
          <w:szCs w:val="28"/>
          <w:highlight w:val="none"/>
        </w:rPr>
        <w:t>．</w:t>
      </w:r>
      <w:r>
        <w:rPr>
          <w:rFonts w:ascii="Calibri" w:hAnsi="Calibri"/>
          <w:b/>
          <w:color w:val="auto"/>
          <w:sz w:val="28"/>
          <w:szCs w:val="28"/>
          <w:highlight w:val="none"/>
        </w:rPr>
        <w:t>8</w:t>
      </w:r>
      <w:r>
        <w:rPr>
          <w:rFonts w:hint="eastAsia" w:ascii="Calibri" w:hAnsi="Calibri"/>
          <w:b/>
          <w:color w:val="auto"/>
          <w:sz w:val="28"/>
          <w:szCs w:val="28"/>
          <w:highlight w:val="none"/>
        </w:rPr>
        <w:t>　</w:t>
      </w:r>
      <w:r>
        <w:rPr>
          <w:rFonts w:hint="eastAsia" w:ascii="Calibri" w:hAnsi="Calibri"/>
          <w:color w:val="auto"/>
          <w:sz w:val="28"/>
          <w:szCs w:val="28"/>
          <w:highlight w:val="none"/>
        </w:rPr>
        <w:t>庭院管道燃气设施：市政规划红线内所有燃气管道设施。</w:t>
      </w:r>
    </w:p>
    <w:p>
      <w:pPr>
        <w:spacing w:line="360" w:lineRule="auto"/>
        <w:rPr>
          <w:rFonts w:ascii="Calibri" w:hAnsi="Calibri"/>
          <w:color w:val="auto"/>
          <w:sz w:val="28"/>
          <w:szCs w:val="28"/>
          <w:highlight w:val="none"/>
        </w:rPr>
      </w:pPr>
      <w:r>
        <w:rPr>
          <w:rFonts w:ascii="Calibri" w:hAnsi="Calibri"/>
          <w:b/>
          <w:color w:val="auto"/>
          <w:sz w:val="28"/>
          <w:szCs w:val="28"/>
          <w:highlight w:val="none"/>
        </w:rPr>
        <w:t>2</w:t>
      </w:r>
      <w:r>
        <w:rPr>
          <w:rFonts w:hint="eastAsia" w:ascii="Calibri" w:hAnsi="Calibri"/>
          <w:b/>
          <w:color w:val="auto"/>
          <w:sz w:val="28"/>
          <w:szCs w:val="28"/>
          <w:highlight w:val="none"/>
        </w:rPr>
        <w:t>．</w:t>
      </w:r>
      <w:r>
        <w:rPr>
          <w:rFonts w:ascii="Calibri" w:hAnsi="Calibri"/>
          <w:b/>
          <w:color w:val="auto"/>
          <w:sz w:val="28"/>
          <w:szCs w:val="28"/>
          <w:highlight w:val="none"/>
        </w:rPr>
        <w:t>9</w:t>
      </w:r>
      <w:r>
        <w:rPr>
          <w:rFonts w:hint="eastAsia" w:ascii="Calibri" w:hAnsi="Calibri"/>
          <w:b/>
          <w:color w:val="auto"/>
          <w:sz w:val="28"/>
          <w:szCs w:val="28"/>
          <w:highlight w:val="none"/>
        </w:rPr>
        <w:t>　</w:t>
      </w:r>
      <w:r>
        <w:rPr>
          <w:rFonts w:hint="eastAsia" w:ascii="Calibri" w:hAnsi="Calibri"/>
          <w:color w:val="auto"/>
          <w:sz w:val="28"/>
          <w:szCs w:val="28"/>
          <w:highlight w:val="none"/>
        </w:rPr>
        <w:t>影响用户用气工程：是指如果出现下列情况，则视为影响用户用气的工程：</w:t>
      </w:r>
    </w:p>
    <w:p>
      <w:pPr>
        <w:spacing w:line="360" w:lineRule="auto"/>
        <w:ind w:firstLine="560" w:firstLineChars="200"/>
        <w:rPr>
          <w:rFonts w:hint="eastAsia" w:ascii="Calibri" w:hAnsi="Calibri"/>
          <w:color w:val="auto"/>
          <w:sz w:val="28"/>
          <w:szCs w:val="28"/>
          <w:highlight w:val="none"/>
        </w:rPr>
      </w:pPr>
      <w:r>
        <w:rPr>
          <w:rFonts w:hint="eastAsia" w:ascii="Calibri" w:hAnsi="Calibri"/>
          <w:color w:val="auto"/>
          <w:sz w:val="28"/>
          <w:szCs w:val="28"/>
          <w:highlight w:val="none"/>
          <w:lang w:eastAsia="zh-CN"/>
        </w:rPr>
        <w:t>（</w:t>
      </w:r>
      <w:r>
        <w:rPr>
          <w:rFonts w:hint="eastAsia" w:ascii="Calibri" w:hAnsi="Calibri"/>
          <w:color w:val="auto"/>
          <w:sz w:val="28"/>
          <w:szCs w:val="28"/>
          <w:highlight w:val="none"/>
          <w:lang w:val="en-US" w:eastAsia="zh-CN"/>
        </w:rPr>
        <w:t>1）</w:t>
      </w:r>
      <w:r>
        <w:rPr>
          <w:rFonts w:hint="eastAsia" w:ascii="Calibri" w:hAnsi="Calibri"/>
          <w:color w:val="auto"/>
          <w:sz w:val="28"/>
          <w:szCs w:val="28"/>
          <w:highlight w:val="none"/>
        </w:rPr>
        <w:t>造成3000户以上用户供气中断或供气压力显着降低，影响用户使用72小时以上；</w:t>
      </w:r>
    </w:p>
    <w:p>
      <w:pPr>
        <w:spacing w:line="360" w:lineRule="auto"/>
        <w:ind w:firstLine="560" w:firstLineChars="200"/>
        <w:rPr>
          <w:rFonts w:hint="eastAsia" w:ascii="Calibri" w:hAnsi="Calibri"/>
          <w:color w:val="auto"/>
          <w:sz w:val="28"/>
          <w:szCs w:val="28"/>
          <w:highlight w:val="none"/>
        </w:rPr>
      </w:pPr>
      <w:r>
        <w:rPr>
          <w:rFonts w:hint="eastAsia" w:ascii="Calibri" w:hAnsi="Calibri"/>
          <w:color w:val="auto"/>
          <w:sz w:val="28"/>
          <w:szCs w:val="28"/>
          <w:highlight w:val="none"/>
          <w:lang w:eastAsia="zh-CN"/>
        </w:rPr>
        <w:t>（</w:t>
      </w:r>
      <w:r>
        <w:rPr>
          <w:rFonts w:hint="eastAsia" w:ascii="Calibri" w:hAnsi="Calibri"/>
          <w:color w:val="auto"/>
          <w:sz w:val="28"/>
          <w:szCs w:val="28"/>
          <w:highlight w:val="none"/>
          <w:lang w:val="en-US" w:eastAsia="zh-CN"/>
        </w:rPr>
        <w:t>2）</w:t>
      </w:r>
      <w:r>
        <w:rPr>
          <w:rFonts w:hint="eastAsia" w:ascii="Calibri" w:hAnsi="Calibri"/>
          <w:color w:val="auto"/>
          <w:sz w:val="28"/>
          <w:szCs w:val="28"/>
          <w:highlight w:val="none"/>
        </w:rPr>
        <w:t>阻碍主干、次干道路车辆和行人通行72小时以上；</w:t>
      </w:r>
    </w:p>
    <w:p>
      <w:pPr>
        <w:numPr>
          <w:ilvl w:val="0"/>
          <w:numId w:val="0"/>
        </w:numPr>
        <w:spacing w:line="360" w:lineRule="auto"/>
        <w:rPr>
          <w:rFonts w:ascii="Calibri" w:eastAsia="Calibri"/>
          <w:color w:val="auto"/>
          <w:sz w:val="28"/>
          <w:szCs w:val="28"/>
          <w:highlight w:val="none"/>
        </w:rPr>
      </w:pPr>
      <w:r>
        <w:rPr>
          <w:rFonts w:hint="eastAsia" w:ascii="Calibri" w:hAnsi="Calibri"/>
          <w:color w:val="auto"/>
          <w:sz w:val="28"/>
          <w:szCs w:val="28"/>
          <w:highlight w:val="none"/>
          <w:lang w:val="en-US" w:eastAsia="zh-CN"/>
        </w:rPr>
        <w:t xml:space="preserve">    </w:t>
      </w:r>
      <w:r>
        <w:rPr>
          <w:rFonts w:hint="eastAsia" w:ascii="Calibri" w:hAnsi="Calibri"/>
          <w:color w:val="auto"/>
          <w:sz w:val="28"/>
          <w:szCs w:val="28"/>
          <w:highlight w:val="none"/>
          <w:lang w:eastAsia="zh-CN"/>
        </w:rPr>
        <w:t>（</w:t>
      </w:r>
      <w:r>
        <w:rPr>
          <w:rFonts w:hint="eastAsia" w:ascii="Calibri" w:hAnsi="Calibri"/>
          <w:color w:val="auto"/>
          <w:sz w:val="28"/>
          <w:szCs w:val="28"/>
          <w:highlight w:val="none"/>
          <w:lang w:val="en-US" w:eastAsia="zh-CN"/>
        </w:rPr>
        <w:t>3）</w:t>
      </w:r>
      <w:r>
        <w:rPr>
          <w:rFonts w:hint="eastAsia" w:ascii="Calibri" w:hAnsi="Calibri"/>
          <w:color w:val="auto"/>
          <w:sz w:val="28"/>
          <w:szCs w:val="28"/>
          <w:highlight w:val="none"/>
        </w:rPr>
        <w:t>影响其他公共设施使用。</w:t>
      </w:r>
    </w:p>
    <w:p>
      <w:pPr>
        <w:spacing w:line="360" w:lineRule="auto"/>
        <w:rPr>
          <w:rFonts w:ascii="Calibri" w:hAnsi="Calibri"/>
          <w:color w:val="auto"/>
          <w:sz w:val="28"/>
          <w:szCs w:val="28"/>
          <w:highlight w:val="none"/>
        </w:rPr>
      </w:pPr>
      <w:r>
        <w:rPr>
          <w:rFonts w:ascii="Calibri" w:hAnsi="Calibri"/>
          <w:b/>
          <w:color w:val="auto"/>
          <w:sz w:val="28"/>
          <w:szCs w:val="28"/>
          <w:highlight w:val="none"/>
        </w:rPr>
        <w:t>2</w:t>
      </w:r>
      <w:r>
        <w:rPr>
          <w:rFonts w:hint="eastAsia" w:ascii="Calibri" w:hAnsi="Calibri"/>
          <w:b/>
          <w:color w:val="auto"/>
          <w:sz w:val="28"/>
          <w:szCs w:val="28"/>
          <w:highlight w:val="none"/>
        </w:rPr>
        <w:t>．</w:t>
      </w:r>
      <w:r>
        <w:rPr>
          <w:rFonts w:ascii="Calibri" w:hAnsi="Calibri"/>
          <w:b/>
          <w:color w:val="auto"/>
          <w:sz w:val="28"/>
          <w:szCs w:val="28"/>
          <w:highlight w:val="none"/>
        </w:rPr>
        <w:t>10</w:t>
      </w:r>
      <w:r>
        <w:rPr>
          <w:rFonts w:hint="eastAsia" w:ascii="Calibri" w:hAnsi="Calibri"/>
          <w:b/>
          <w:color w:val="auto"/>
          <w:sz w:val="28"/>
          <w:szCs w:val="28"/>
          <w:highlight w:val="none"/>
          <w:lang w:val="en-US" w:eastAsia="zh-CN"/>
        </w:rPr>
        <w:t xml:space="preserve"> </w:t>
      </w:r>
      <w:r>
        <w:rPr>
          <w:rFonts w:hint="eastAsia" w:ascii="Calibri" w:hAnsi="Calibri"/>
          <w:color w:val="auto"/>
          <w:sz w:val="28"/>
          <w:szCs w:val="28"/>
          <w:highlight w:val="none"/>
        </w:rPr>
        <w:t>燃气紧急事件：涉及管道燃气需要紧急采取非正常措施的事件，包括燃气爆炸、着火和泄漏等。</w:t>
      </w:r>
    </w:p>
    <w:p>
      <w:pPr>
        <w:spacing w:line="360" w:lineRule="auto"/>
        <w:rPr>
          <w:rFonts w:ascii="Calibri" w:hAnsi="Calibri"/>
          <w:color w:val="auto"/>
          <w:sz w:val="28"/>
          <w:szCs w:val="28"/>
          <w:highlight w:val="none"/>
        </w:rPr>
      </w:pPr>
      <w:r>
        <w:rPr>
          <w:rFonts w:ascii="Calibri" w:hAnsi="Calibri"/>
          <w:b/>
          <w:color w:val="auto"/>
          <w:sz w:val="28"/>
          <w:szCs w:val="28"/>
          <w:highlight w:val="none"/>
        </w:rPr>
        <w:t>2</w:t>
      </w:r>
      <w:r>
        <w:rPr>
          <w:rFonts w:hint="eastAsia" w:ascii="Calibri" w:hAnsi="Calibri"/>
          <w:b/>
          <w:color w:val="auto"/>
          <w:sz w:val="28"/>
          <w:szCs w:val="28"/>
          <w:highlight w:val="none"/>
        </w:rPr>
        <w:t>．</w:t>
      </w:r>
      <w:r>
        <w:rPr>
          <w:rFonts w:ascii="Calibri" w:hAnsi="Calibri"/>
          <w:b/>
          <w:color w:val="auto"/>
          <w:sz w:val="28"/>
          <w:szCs w:val="28"/>
          <w:highlight w:val="none"/>
        </w:rPr>
        <w:t>11</w:t>
      </w:r>
      <w:r>
        <w:rPr>
          <w:rFonts w:hint="eastAsia" w:ascii="Calibri" w:hAnsi="Calibri"/>
          <w:b/>
          <w:color w:val="auto"/>
          <w:sz w:val="28"/>
          <w:szCs w:val="28"/>
          <w:highlight w:val="none"/>
          <w:lang w:val="en-US" w:eastAsia="zh-CN"/>
        </w:rPr>
        <w:t xml:space="preserve"> </w:t>
      </w:r>
      <w:r>
        <w:rPr>
          <w:rFonts w:hint="eastAsia" w:ascii="Calibri" w:hAnsi="Calibri"/>
          <w:color w:val="auto"/>
          <w:sz w:val="28"/>
          <w:szCs w:val="28"/>
          <w:highlight w:val="none"/>
        </w:rPr>
        <w:t>特许经营权：是指本协议中甲方授予乙方的、在特许经营期限内独家在特许经营区域范围内投资、建设、运营、维护市政管道燃气设施、以管道输送形式向用户供应燃气，提供相关管道燃气设施的抢修抢险业务等并收取费用的权利。</w:t>
      </w:r>
    </w:p>
    <w:p>
      <w:pPr>
        <w:spacing w:line="360" w:lineRule="auto"/>
        <w:rPr>
          <w:rFonts w:ascii="Calibri" w:hAnsi="Calibri"/>
          <w:color w:val="auto"/>
          <w:sz w:val="28"/>
          <w:szCs w:val="28"/>
          <w:highlight w:val="none"/>
        </w:rPr>
      </w:pPr>
      <w:r>
        <w:rPr>
          <w:rFonts w:ascii="Calibri" w:hAnsi="Calibri"/>
          <w:b/>
          <w:color w:val="auto"/>
          <w:sz w:val="28"/>
          <w:szCs w:val="28"/>
          <w:highlight w:val="none"/>
        </w:rPr>
        <w:t>2</w:t>
      </w:r>
      <w:r>
        <w:rPr>
          <w:rFonts w:hint="eastAsia" w:ascii="Calibri" w:hAnsi="Calibri"/>
          <w:b/>
          <w:color w:val="auto"/>
          <w:sz w:val="28"/>
          <w:szCs w:val="28"/>
          <w:highlight w:val="none"/>
        </w:rPr>
        <w:t>．</w:t>
      </w:r>
      <w:r>
        <w:rPr>
          <w:rFonts w:ascii="Calibri" w:hAnsi="Calibri"/>
          <w:b/>
          <w:color w:val="auto"/>
          <w:sz w:val="28"/>
          <w:szCs w:val="28"/>
          <w:highlight w:val="none"/>
        </w:rPr>
        <w:t>12</w:t>
      </w:r>
      <w:r>
        <w:rPr>
          <w:rFonts w:hint="eastAsia" w:ascii="Calibri" w:hAnsi="Calibri"/>
          <w:b/>
          <w:color w:val="auto"/>
          <w:sz w:val="28"/>
          <w:szCs w:val="28"/>
          <w:highlight w:val="none"/>
          <w:lang w:val="en-US" w:eastAsia="zh-CN"/>
        </w:rPr>
        <w:t xml:space="preserve"> </w:t>
      </w:r>
      <w:r>
        <w:rPr>
          <w:rFonts w:hint="eastAsia" w:ascii="Calibri" w:hAnsi="Calibri"/>
          <w:color w:val="auto"/>
          <w:sz w:val="28"/>
          <w:szCs w:val="28"/>
          <w:highlight w:val="none"/>
        </w:rPr>
        <w:t>不可抗力：是指在签订本协议时不能合理预见的、不能克服和不能避免的事件或情形。以满足上述条件为前提，不可抗力包括但不限于：</w:t>
      </w:r>
    </w:p>
    <w:p>
      <w:pPr>
        <w:numPr>
          <w:ilvl w:val="0"/>
          <w:numId w:val="4"/>
        </w:numPr>
        <w:spacing w:line="360" w:lineRule="auto"/>
        <w:ind w:firstLine="560" w:firstLineChars="200"/>
        <w:rPr>
          <w:rFonts w:ascii="Calibri" w:hAnsi="Calibri"/>
          <w:color w:val="auto"/>
          <w:sz w:val="28"/>
          <w:szCs w:val="28"/>
          <w:highlight w:val="none"/>
        </w:rPr>
      </w:pPr>
      <w:r>
        <w:rPr>
          <w:rFonts w:hint="eastAsia" w:ascii="Calibri" w:hAnsi="Calibri"/>
          <w:color w:val="auto"/>
          <w:sz w:val="28"/>
          <w:szCs w:val="28"/>
          <w:highlight w:val="none"/>
        </w:rPr>
        <w:t>雷电、地震、火山爆发、滑坡、水灾、暴雨、海啸、台风、龙卷风或旱灾；</w:t>
      </w:r>
    </w:p>
    <w:p>
      <w:pPr>
        <w:numPr>
          <w:ilvl w:val="0"/>
          <w:numId w:val="4"/>
        </w:numPr>
        <w:spacing w:line="360" w:lineRule="auto"/>
        <w:ind w:firstLine="560" w:firstLineChars="200"/>
        <w:rPr>
          <w:rFonts w:ascii="Calibri" w:eastAsia="Calibri"/>
          <w:color w:val="auto"/>
          <w:sz w:val="28"/>
          <w:szCs w:val="28"/>
          <w:highlight w:val="none"/>
        </w:rPr>
      </w:pPr>
      <w:r>
        <w:rPr>
          <w:rFonts w:hint="eastAsia" w:ascii="Calibri" w:hAnsi="Calibri"/>
          <w:color w:val="auto"/>
          <w:sz w:val="28"/>
          <w:szCs w:val="28"/>
          <w:highlight w:val="none"/>
        </w:rPr>
        <w:t>流行病、瘟疫；</w:t>
      </w:r>
    </w:p>
    <w:p>
      <w:pPr>
        <w:numPr>
          <w:ilvl w:val="0"/>
          <w:numId w:val="4"/>
        </w:numPr>
        <w:spacing w:line="360" w:lineRule="auto"/>
        <w:ind w:firstLine="560" w:firstLineChars="200"/>
        <w:rPr>
          <w:rFonts w:ascii="Calibri" w:eastAsia="Calibri"/>
          <w:color w:val="auto"/>
          <w:sz w:val="28"/>
          <w:szCs w:val="28"/>
          <w:highlight w:val="none"/>
        </w:rPr>
      </w:pPr>
      <w:r>
        <w:rPr>
          <w:rFonts w:hint="eastAsia" w:ascii="Calibri" w:hAnsi="Calibri"/>
          <w:color w:val="auto"/>
          <w:sz w:val="28"/>
          <w:szCs w:val="28"/>
          <w:highlight w:val="none"/>
        </w:rPr>
        <w:t>战争行为、入侵、武装冲突或外敌行为、封锁或军事力量的使用，暴乱或恐怖行为；</w:t>
      </w:r>
    </w:p>
    <w:p>
      <w:pPr>
        <w:numPr>
          <w:ilvl w:val="0"/>
          <w:numId w:val="4"/>
        </w:numPr>
        <w:spacing w:line="360" w:lineRule="auto"/>
        <w:ind w:firstLine="560" w:firstLineChars="200"/>
        <w:rPr>
          <w:rFonts w:ascii="Calibri" w:eastAsia="Calibri"/>
          <w:color w:val="auto"/>
          <w:sz w:val="28"/>
          <w:szCs w:val="28"/>
          <w:highlight w:val="none"/>
        </w:rPr>
      </w:pPr>
      <w:r>
        <w:rPr>
          <w:rFonts w:hint="eastAsia" w:ascii="Calibri" w:hAnsi="Calibri"/>
          <w:color w:val="auto"/>
          <w:sz w:val="28"/>
          <w:szCs w:val="28"/>
          <w:highlight w:val="none"/>
        </w:rPr>
        <w:t>全国性、地区性、城市性或行业性罢工；</w:t>
      </w:r>
    </w:p>
    <w:p>
      <w:pPr>
        <w:numPr>
          <w:ilvl w:val="0"/>
          <w:numId w:val="4"/>
        </w:numPr>
        <w:spacing w:line="360" w:lineRule="auto"/>
        <w:ind w:firstLine="560" w:firstLineChars="200"/>
        <w:jc w:val="left"/>
        <w:rPr>
          <w:rFonts w:ascii="Calibri" w:eastAsia="Calibri"/>
          <w:color w:val="auto"/>
          <w:sz w:val="28"/>
          <w:szCs w:val="28"/>
          <w:highlight w:val="none"/>
        </w:rPr>
      </w:pPr>
      <w:r>
        <w:rPr>
          <w:rFonts w:hint="eastAsia" w:ascii="Calibri" w:hAnsi="Calibri"/>
          <w:color w:val="auto"/>
          <w:sz w:val="28"/>
          <w:szCs w:val="28"/>
          <w:highlight w:val="none"/>
        </w:rPr>
        <w:t>由于不能归因于乙方的原因造成的燃气质量恶化或供应不足。</w:t>
      </w:r>
      <w:r>
        <w:rPr>
          <w:rFonts w:ascii="Calibri" w:eastAsia="Calibri"/>
          <w:color w:val="auto"/>
          <w:sz w:val="28"/>
          <w:szCs w:val="28"/>
          <w:highlight w:val="none"/>
        </w:rPr>
        <w:br w:type="textWrapping"/>
      </w:r>
      <w:r>
        <w:rPr>
          <w:rFonts w:ascii="Calibri" w:hAnsi="Calibri"/>
          <w:b/>
          <w:color w:val="auto"/>
          <w:sz w:val="28"/>
          <w:szCs w:val="28"/>
          <w:highlight w:val="none"/>
        </w:rPr>
        <w:t>2</w:t>
      </w:r>
      <w:r>
        <w:rPr>
          <w:rFonts w:hint="eastAsia" w:ascii="Calibri" w:hAnsi="Calibri"/>
          <w:b/>
          <w:color w:val="auto"/>
          <w:sz w:val="28"/>
          <w:szCs w:val="28"/>
          <w:highlight w:val="none"/>
        </w:rPr>
        <w:t>．</w:t>
      </w:r>
      <w:r>
        <w:rPr>
          <w:rFonts w:ascii="Calibri" w:hAnsi="Calibri"/>
          <w:b/>
          <w:color w:val="auto"/>
          <w:sz w:val="28"/>
          <w:szCs w:val="28"/>
          <w:highlight w:val="none"/>
        </w:rPr>
        <w:t>13</w:t>
      </w:r>
      <w:r>
        <w:rPr>
          <w:rFonts w:hint="eastAsia" w:ascii="Calibri" w:hAnsi="Calibri"/>
          <w:b/>
          <w:color w:val="auto"/>
          <w:sz w:val="28"/>
          <w:szCs w:val="28"/>
          <w:highlight w:val="none"/>
        </w:rPr>
        <w:t>　</w:t>
      </w:r>
      <w:r>
        <w:rPr>
          <w:rFonts w:hint="eastAsia" w:ascii="Calibri" w:hAnsi="Calibri"/>
          <w:color w:val="auto"/>
          <w:sz w:val="28"/>
          <w:szCs w:val="28"/>
          <w:highlight w:val="none"/>
        </w:rPr>
        <w:t>日、月、季度、年：均指公历的日、月份、季度和年。</w:t>
      </w:r>
      <w:r>
        <w:rPr>
          <w:rFonts w:ascii="Calibri" w:eastAsia="Calibri"/>
          <w:color w:val="auto"/>
          <w:sz w:val="28"/>
          <w:szCs w:val="28"/>
          <w:highlight w:val="none"/>
        </w:rPr>
        <w:br w:type="textWrapping"/>
      </w:r>
      <w:r>
        <w:rPr>
          <w:rFonts w:hint="eastAsia" w:ascii="Calibri" w:hAnsi="Calibri"/>
          <w:b/>
          <w:color w:val="auto"/>
          <w:sz w:val="28"/>
          <w:szCs w:val="28"/>
          <w:highlight w:val="none"/>
        </w:rPr>
        <w:t>第三章　特许经营权授予和取消</w:t>
      </w:r>
      <w:r>
        <w:rPr>
          <w:rFonts w:ascii="Calibri" w:eastAsia="Calibri"/>
          <w:color w:val="auto"/>
          <w:sz w:val="28"/>
          <w:szCs w:val="28"/>
          <w:highlight w:val="none"/>
        </w:rPr>
        <w:br w:type="textWrapping"/>
      </w:r>
      <w:r>
        <w:rPr>
          <w:rFonts w:ascii="Calibri" w:hAnsi="Calibri"/>
          <w:b/>
          <w:color w:val="auto"/>
          <w:sz w:val="28"/>
          <w:szCs w:val="28"/>
          <w:highlight w:val="none"/>
        </w:rPr>
        <w:t>3</w:t>
      </w:r>
      <w:r>
        <w:rPr>
          <w:rFonts w:hint="eastAsia" w:ascii="Calibri" w:hAnsi="Calibri"/>
          <w:b/>
          <w:color w:val="auto"/>
          <w:sz w:val="28"/>
          <w:szCs w:val="28"/>
          <w:highlight w:val="none"/>
        </w:rPr>
        <w:t>．</w:t>
      </w:r>
      <w:r>
        <w:rPr>
          <w:rFonts w:ascii="Calibri" w:hAnsi="Calibri"/>
          <w:b/>
          <w:color w:val="auto"/>
          <w:sz w:val="28"/>
          <w:szCs w:val="28"/>
          <w:highlight w:val="none"/>
        </w:rPr>
        <w:t>1</w:t>
      </w:r>
      <w:r>
        <w:rPr>
          <w:rFonts w:hint="eastAsia" w:ascii="Calibri" w:hAnsi="Calibri"/>
          <w:b/>
          <w:color w:val="auto"/>
          <w:sz w:val="28"/>
          <w:szCs w:val="28"/>
          <w:highlight w:val="none"/>
        </w:rPr>
        <w:t>　特许经营权授予</w:t>
      </w:r>
    </w:p>
    <w:p>
      <w:pPr>
        <w:spacing w:line="360" w:lineRule="auto"/>
        <w:ind w:firstLine="560" w:firstLineChars="200"/>
        <w:rPr>
          <w:rFonts w:ascii="Calibri" w:hAnsi="Calibri"/>
          <w:b/>
          <w:color w:val="auto"/>
          <w:sz w:val="28"/>
          <w:szCs w:val="28"/>
          <w:highlight w:val="none"/>
        </w:rPr>
      </w:pPr>
      <w:r>
        <w:rPr>
          <w:rFonts w:hint="eastAsia" w:ascii="Calibri" w:hAnsi="Calibri"/>
          <w:color w:val="auto"/>
          <w:sz w:val="28"/>
          <w:szCs w:val="28"/>
          <w:highlight w:val="none"/>
        </w:rPr>
        <w:t>甲方与乙方签署本特许经营协议，将本协议约定的特许经营权授予乙方。</w:t>
      </w:r>
      <w:r>
        <w:rPr>
          <w:rFonts w:ascii="Calibri" w:eastAsia="Calibri"/>
          <w:color w:val="auto"/>
          <w:sz w:val="28"/>
          <w:szCs w:val="28"/>
          <w:highlight w:val="none"/>
        </w:rPr>
        <w:br w:type="textWrapping"/>
      </w:r>
      <w:r>
        <w:rPr>
          <w:rFonts w:ascii="Calibri" w:hAnsi="Calibri"/>
          <w:b/>
          <w:color w:val="auto"/>
          <w:sz w:val="28"/>
          <w:szCs w:val="28"/>
          <w:highlight w:val="none"/>
        </w:rPr>
        <w:t>3</w:t>
      </w:r>
      <w:r>
        <w:rPr>
          <w:rFonts w:hint="eastAsia" w:ascii="Calibri" w:hAnsi="Calibri"/>
          <w:b/>
          <w:color w:val="auto"/>
          <w:sz w:val="28"/>
          <w:szCs w:val="28"/>
          <w:highlight w:val="none"/>
        </w:rPr>
        <w:t>．</w:t>
      </w:r>
      <w:r>
        <w:rPr>
          <w:rFonts w:ascii="Calibri" w:hAnsi="Calibri"/>
          <w:b/>
          <w:color w:val="auto"/>
          <w:sz w:val="28"/>
          <w:szCs w:val="28"/>
          <w:highlight w:val="none"/>
        </w:rPr>
        <w:t>2</w:t>
      </w:r>
      <w:r>
        <w:rPr>
          <w:rFonts w:hint="eastAsia" w:ascii="Calibri" w:hAnsi="Calibri"/>
          <w:b/>
          <w:color w:val="auto"/>
          <w:sz w:val="28"/>
          <w:szCs w:val="28"/>
          <w:highlight w:val="none"/>
        </w:rPr>
        <w:t>　特许经营权期限</w:t>
      </w:r>
    </w:p>
    <w:p>
      <w:pPr>
        <w:spacing w:line="360" w:lineRule="auto"/>
        <w:ind w:firstLine="560" w:firstLineChars="200"/>
        <w:rPr>
          <w:rFonts w:ascii="Calibri" w:hAnsi="Calibri"/>
          <w:b/>
          <w:color w:val="auto"/>
          <w:sz w:val="28"/>
          <w:szCs w:val="28"/>
          <w:highlight w:val="none"/>
        </w:rPr>
      </w:pPr>
      <w:r>
        <w:rPr>
          <w:rFonts w:hint="eastAsia" w:ascii="Calibri" w:hAnsi="Calibri"/>
          <w:color w:val="auto"/>
          <w:sz w:val="28"/>
          <w:szCs w:val="28"/>
          <w:highlight w:val="none"/>
        </w:rPr>
        <w:t>本协议之特许经营权有效期限为</w:t>
      </w:r>
      <w:r>
        <w:rPr>
          <w:rFonts w:ascii="Calibri" w:hAnsi="Calibri"/>
          <w:color w:val="auto"/>
          <w:sz w:val="28"/>
          <w:szCs w:val="28"/>
          <w:highlight w:val="none"/>
          <w:u w:val="single"/>
        </w:rPr>
        <w:t>30</w:t>
      </w:r>
      <w:r>
        <w:rPr>
          <w:rFonts w:hint="eastAsia" w:ascii="Calibri" w:hAnsi="Calibri"/>
          <w:color w:val="auto"/>
          <w:sz w:val="28"/>
          <w:szCs w:val="28"/>
          <w:highlight w:val="none"/>
        </w:rPr>
        <w:t>年，自</w:t>
      </w:r>
      <w:r>
        <w:rPr>
          <w:rFonts w:hint="eastAsia" w:ascii="Calibri" w:hAnsi="Calibri"/>
          <w:color w:val="auto"/>
          <w:sz w:val="28"/>
          <w:szCs w:val="28"/>
          <w:highlight w:val="none"/>
          <w:u w:val="single"/>
        </w:rPr>
        <w:t>xxxx</w:t>
      </w:r>
      <w:r>
        <w:rPr>
          <w:rFonts w:hint="eastAsia" w:ascii="Calibri" w:hAnsi="Calibri"/>
          <w:color w:val="auto"/>
          <w:sz w:val="28"/>
          <w:szCs w:val="28"/>
          <w:highlight w:val="none"/>
        </w:rPr>
        <w:t>年</w:t>
      </w:r>
      <w:r>
        <w:rPr>
          <w:rFonts w:hint="eastAsia" w:ascii="Calibri" w:hAnsi="Calibri"/>
          <w:color w:val="auto"/>
          <w:sz w:val="28"/>
          <w:szCs w:val="28"/>
          <w:highlight w:val="none"/>
          <w:u w:val="single"/>
        </w:rPr>
        <w:t>xx</w:t>
      </w:r>
      <w:r>
        <w:rPr>
          <w:rFonts w:hint="eastAsia" w:ascii="Calibri" w:hAnsi="Calibri"/>
          <w:color w:val="auto"/>
          <w:sz w:val="28"/>
          <w:szCs w:val="28"/>
          <w:highlight w:val="none"/>
        </w:rPr>
        <w:t>月</w:t>
      </w:r>
      <w:r>
        <w:rPr>
          <w:rFonts w:hint="eastAsia" w:ascii="Calibri" w:hAnsi="Calibri"/>
          <w:color w:val="auto"/>
          <w:sz w:val="28"/>
          <w:szCs w:val="28"/>
          <w:highlight w:val="none"/>
          <w:u w:val="single"/>
        </w:rPr>
        <w:t>xx</w:t>
      </w:r>
      <w:r>
        <w:rPr>
          <w:rFonts w:hint="eastAsia" w:ascii="Calibri" w:hAnsi="Calibri"/>
          <w:color w:val="auto"/>
          <w:sz w:val="28"/>
          <w:szCs w:val="28"/>
          <w:highlight w:val="none"/>
        </w:rPr>
        <w:t>日起至</w:t>
      </w:r>
      <w:r>
        <w:rPr>
          <w:rFonts w:hint="eastAsia" w:ascii="Calibri" w:hAnsi="Calibri"/>
          <w:color w:val="auto"/>
          <w:sz w:val="28"/>
          <w:szCs w:val="28"/>
          <w:highlight w:val="none"/>
          <w:u w:val="single"/>
        </w:rPr>
        <w:t>xxxx</w:t>
      </w:r>
      <w:r>
        <w:rPr>
          <w:rFonts w:hint="eastAsia" w:ascii="Calibri" w:hAnsi="Calibri"/>
          <w:color w:val="auto"/>
          <w:sz w:val="28"/>
          <w:szCs w:val="28"/>
          <w:highlight w:val="none"/>
        </w:rPr>
        <w:t>年</w:t>
      </w:r>
      <w:r>
        <w:rPr>
          <w:rFonts w:hint="eastAsia" w:ascii="Calibri" w:hAnsi="Calibri"/>
          <w:color w:val="auto"/>
          <w:sz w:val="28"/>
          <w:szCs w:val="28"/>
          <w:highlight w:val="none"/>
          <w:u w:val="single"/>
        </w:rPr>
        <w:t>xx</w:t>
      </w:r>
      <w:r>
        <w:rPr>
          <w:rFonts w:hint="eastAsia" w:ascii="Calibri" w:hAnsi="Calibri"/>
          <w:color w:val="auto"/>
          <w:sz w:val="28"/>
          <w:szCs w:val="28"/>
          <w:highlight w:val="none"/>
        </w:rPr>
        <w:t>月</w:t>
      </w:r>
      <w:r>
        <w:rPr>
          <w:rFonts w:hint="eastAsia" w:ascii="Calibri" w:hAnsi="Calibri"/>
          <w:color w:val="auto"/>
          <w:sz w:val="28"/>
          <w:szCs w:val="28"/>
          <w:highlight w:val="none"/>
          <w:u w:val="single"/>
        </w:rPr>
        <w:t>xx</w:t>
      </w:r>
      <w:r>
        <w:rPr>
          <w:rFonts w:hint="eastAsia" w:ascii="Calibri" w:hAnsi="Calibri"/>
          <w:color w:val="auto"/>
          <w:sz w:val="28"/>
          <w:szCs w:val="28"/>
          <w:highlight w:val="none"/>
        </w:rPr>
        <w:t>日止。</w:t>
      </w:r>
      <w:r>
        <w:rPr>
          <w:rFonts w:ascii="Calibri" w:eastAsia="Calibri"/>
          <w:color w:val="auto"/>
          <w:sz w:val="28"/>
          <w:szCs w:val="28"/>
          <w:highlight w:val="none"/>
        </w:rPr>
        <w:br w:type="textWrapping"/>
      </w:r>
      <w:r>
        <w:rPr>
          <w:rFonts w:ascii="Calibri" w:hAnsi="Calibri"/>
          <w:b/>
          <w:color w:val="auto"/>
          <w:sz w:val="28"/>
          <w:szCs w:val="28"/>
          <w:highlight w:val="none"/>
        </w:rPr>
        <w:t>3</w:t>
      </w:r>
      <w:r>
        <w:rPr>
          <w:rFonts w:hint="eastAsia" w:ascii="Calibri" w:hAnsi="Calibri"/>
          <w:b/>
          <w:color w:val="auto"/>
          <w:sz w:val="28"/>
          <w:szCs w:val="28"/>
          <w:highlight w:val="none"/>
        </w:rPr>
        <w:t>．3　特许经营权地域范围</w:t>
      </w:r>
    </w:p>
    <w:p>
      <w:pPr>
        <w:spacing w:line="360" w:lineRule="auto"/>
        <w:ind w:firstLine="560" w:firstLineChars="200"/>
        <w:rPr>
          <w:rFonts w:ascii="宋体" w:hAnsi="Calibri" w:eastAsia="Times New Roman"/>
          <w:color w:val="auto"/>
          <w:sz w:val="28"/>
          <w:szCs w:val="28"/>
          <w:highlight w:val="none"/>
        </w:rPr>
      </w:pPr>
      <w:r>
        <w:rPr>
          <w:rFonts w:hint="eastAsia" w:ascii="宋体" w:hAnsi="宋体"/>
          <w:color w:val="auto"/>
          <w:sz w:val="28"/>
          <w:szCs w:val="28"/>
          <w:highlight w:val="none"/>
        </w:rPr>
        <w:t>本协议之特许经营权行使地域范围为阳山县所有行政区域，包括该行政区域内其他各行政区、开发区、产业园及城镇、乡等</w:t>
      </w:r>
      <w:r>
        <w:rPr>
          <w:rFonts w:hint="eastAsia" w:ascii="宋体" w:hAnsi="宋体"/>
          <w:color w:val="auto"/>
          <w:sz w:val="28"/>
          <w:szCs w:val="28"/>
          <w:highlight w:val="none"/>
          <w:lang w:eastAsia="zh-CN"/>
        </w:rPr>
        <w:t>。</w:t>
      </w:r>
    </w:p>
    <w:p>
      <w:pPr>
        <w:spacing w:line="360" w:lineRule="auto"/>
        <w:rPr>
          <w:rFonts w:ascii="Calibri" w:eastAsia="Calibri"/>
          <w:b/>
          <w:color w:val="auto"/>
          <w:sz w:val="28"/>
          <w:szCs w:val="28"/>
          <w:highlight w:val="none"/>
        </w:rPr>
      </w:pPr>
      <w:r>
        <w:rPr>
          <w:rFonts w:ascii="Calibri" w:hAnsi="Calibri"/>
          <w:b/>
          <w:color w:val="auto"/>
          <w:sz w:val="28"/>
          <w:szCs w:val="28"/>
          <w:highlight w:val="none"/>
        </w:rPr>
        <w:t>3</w:t>
      </w:r>
      <w:r>
        <w:rPr>
          <w:rFonts w:hint="eastAsia" w:ascii="Calibri" w:hAnsi="Calibri"/>
          <w:b/>
          <w:color w:val="auto"/>
          <w:sz w:val="28"/>
          <w:szCs w:val="28"/>
          <w:highlight w:val="none"/>
        </w:rPr>
        <w:t>．4　特许经营业务范围</w:t>
      </w:r>
    </w:p>
    <w:p>
      <w:pPr>
        <w:spacing w:line="360" w:lineRule="auto"/>
        <w:ind w:firstLine="560" w:firstLineChars="200"/>
        <w:rPr>
          <w:rFonts w:ascii="宋体" w:hAnsi="宋体"/>
          <w:color w:val="auto"/>
          <w:sz w:val="28"/>
          <w:szCs w:val="28"/>
          <w:highlight w:val="none"/>
        </w:rPr>
      </w:pPr>
      <w:r>
        <w:rPr>
          <w:rFonts w:hint="eastAsia" w:ascii="Calibri" w:hAnsi="Calibri"/>
          <w:color w:val="auto"/>
          <w:sz w:val="28"/>
          <w:szCs w:val="28"/>
          <w:highlight w:val="none"/>
        </w:rPr>
        <w:t>本协议规定之特许经营权的业务范围：</w:t>
      </w:r>
      <w:r>
        <w:rPr>
          <w:rStyle w:val="36"/>
          <w:rFonts w:hint="eastAsia"/>
          <w:color w:val="auto"/>
          <w:sz w:val="28"/>
          <w:szCs w:val="28"/>
          <w:highlight w:val="none"/>
        </w:rPr>
        <w:t>在特许经营期限内独家在特许经营区域范围内</w:t>
      </w:r>
      <w:r>
        <w:rPr>
          <w:rFonts w:hint="eastAsia"/>
          <w:color w:val="auto"/>
          <w:sz w:val="28"/>
          <w:szCs w:val="28"/>
          <w:highlight w:val="none"/>
        </w:rPr>
        <w:t>投资、建设、运营、维护市政管道燃气设施、以管道输送形式向用户供应燃气，</w:t>
      </w:r>
      <w:r>
        <w:rPr>
          <w:rFonts w:hint="eastAsia" w:ascii="Calibri" w:hAnsi="Calibri"/>
          <w:color w:val="auto"/>
          <w:sz w:val="28"/>
          <w:szCs w:val="28"/>
          <w:highlight w:val="none"/>
        </w:rPr>
        <w:t>提供相关管道燃气设施的抢修抢险业务等并收取费用</w:t>
      </w:r>
      <w:r>
        <w:rPr>
          <w:rFonts w:hint="eastAsia"/>
          <w:color w:val="auto"/>
          <w:sz w:val="28"/>
          <w:szCs w:val="28"/>
          <w:highlight w:val="none"/>
        </w:rPr>
        <w:t>；独家投资、建设及运营汽车加气站</w:t>
      </w:r>
      <w:r>
        <w:rPr>
          <w:rFonts w:hint="eastAsia" w:ascii="宋体" w:hAnsi="宋体"/>
          <w:color w:val="auto"/>
          <w:sz w:val="28"/>
          <w:szCs w:val="28"/>
          <w:highlight w:val="none"/>
        </w:rPr>
        <w:t>。</w:t>
      </w:r>
    </w:p>
    <w:p>
      <w:pPr>
        <w:spacing w:line="360" w:lineRule="auto"/>
        <w:rPr>
          <w:rFonts w:ascii="Calibri" w:eastAsia="Calibri"/>
          <w:color w:val="auto"/>
          <w:sz w:val="28"/>
          <w:szCs w:val="28"/>
          <w:highlight w:val="none"/>
        </w:rPr>
      </w:pPr>
      <w:r>
        <w:rPr>
          <w:rFonts w:ascii="Calibri" w:hAnsi="Calibri"/>
          <w:b/>
          <w:color w:val="auto"/>
          <w:sz w:val="28"/>
          <w:szCs w:val="28"/>
          <w:highlight w:val="none"/>
        </w:rPr>
        <w:t>3</w:t>
      </w:r>
      <w:r>
        <w:rPr>
          <w:rFonts w:hint="eastAsia" w:ascii="Calibri" w:hAnsi="Calibri"/>
          <w:b/>
          <w:color w:val="auto"/>
          <w:sz w:val="28"/>
          <w:szCs w:val="28"/>
          <w:highlight w:val="none"/>
        </w:rPr>
        <w:t>．5　特许经营权转让、出租和质押</w:t>
      </w:r>
    </w:p>
    <w:p>
      <w:pPr>
        <w:spacing w:line="360" w:lineRule="auto"/>
        <w:ind w:firstLine="560" w:firstLineChars="200"/>
        <w:rPr>
          <w:rFonts w:ascii="Calibri" w:eastAsia="Calibri"/>
          <w:color w:val="auto"/>
          <w:sz w:val="28"/>
          <w:szCs w:val="28"/>
          <w:highlight w:val="none"/>
        </w:rPr>
      </w:pPr>
      <w:r>
        <w:rPr>
          <w:rFonts w:hint="eastAsia" w:ascii="Calibri" w:hAnsi="Calibri"/>
          <w:color w:val="auto"/>
          <w:sz w:val="28"/>
          <w:szCs w:val="28"/>
          <w:highlight w:val="none"/>
        </w:rPr>
        <w:t>在特许经营期间，除非甲乙双方另有约定，乙方不得将特许经营权转让、出租和质押给任何第三方。</w:t>
      </w:r>
      <w:r>
        <w:rPr>
          <w:rFonts w:ascii="Calibri" w:eastAsia="Calibri"/>
          <w:color w:val="auto"/>
          <w:sz w:val="28"/>
          <w:szCs w:val="28"/>
          <w:highlight w:val="none"/>
        </w:rPr>
        <w:br w:type="textWrapping"/>
      </w:r>
      <w:r>
        <w:rPr>
          <w:rFonts w:ascii="Calibri" w:hAnsi="Calibri"/>
          <w:b/>
          <w:color w:val="auto"/>
          <w:sz w:val="28"/>
          <w:szCs w:val="28"/>
          <w:highlight w:val="none"/>
        </w:rPr>
        <w:t>3</w:t>
      </w:r>
      <w:r>
        <w:rPr>
          <w:rFonts w:hint="eastAsia" w:ascii="Calibri" w:hAnsi="Calibri"/>
          <w:b/>
          <w:color w:val="auto"/>
          <w:sz w:val="28"/>
          <w:szCs w:val="28"/>
          <w:highlight w:val="none"/>
        </w:rPr>
        <w:t>．</w:t>
      </w:r>
      <w:r>
        <w:rPr>
          <w:rFonts w:hint="eastAsia" w:ascii="Calibri" w:hAnsi="Calibri"/>
          <w:b/>
          <w:color w:val="auto"/>
          <w:sz w:val="28"/>
          <w:szCs w:val="28"/>
          <w:highlight w:val="none"/>
          <w:lang w:val="en-US" w:eastAsia="zh-CN"/>
        </w:rPr>
        <w:t>6</w:t>
      </w:r>
      <w:r>
        <w:rPr>
          <w:rFonts w:hint="eastAsia" w:ascii="Calibri" w:hAnsi="Calibri"/>
          <w:b/>
          <w:color w:val="auto"/>
          <w:sz w:val="28"/>
          <w:szCs w:val="28"/>
          <w:highlight w:val="none"/>
        </w:rPr>
        <w:t>　特许经营权的取消</w:t>
      </w:r>
    </w:p>
    <w:p>
      <w:pPr>
        <w:spacing w:line="360" w:lineRule="auto"/>
        <w:ind w:firstLine="560" w:firstLineChars="200"/>
        <w:rPr>
          <w:rFonts w:ascii="Calibri" w:eastAsia="Calibri"/>
          <w:color w:val="auto"/>
          <w:sz w:val="28"/>
          <w:szCs w:val="28"/>
          <w:highlight w:val="none"/>
        </w:rPr>
      </w:pPr>
      <w:r>
        <w:rPr>
          <w:rFonts w:hint="eastAsia" w:ascii="Calibri" w:hAnsi="Calibri"/>
          <w:color w:val="auto"/>
          <w:sz w:val="28"/>
          <w:szCs w:val="28"/>
          <w:highlight w:val="none"/>
        </w:rPr>
        <w:t>乙方在特许经营期间有下列行为之一的，甲方应当依法终止特许经营协议，取消其特许经营权，并实施临时接管：</w:t>
      </w:r>
      <w:r>
        <w:rPr>
          <w:rFonts w:ascii="Calibri" w:eastAsia="Calibri"/>
          <w:color w:val="auto"/>
          <w:sz w:val="28"/>
          <w:szCs w:val="28"/>
          <w:highlight w:val="none"/>
        </w:rPr>
        <w:br w:type="textWrapping"/>
      </w:r>
      <w:r>
        <w:rPr>
          <w:rFonts w:hint="eastAsia" w:ascii="Calibri" w:hAnsi="Calibri"/>
          <w:color w:val="auto"/>
          <w:sz w:val="28"/>
          <w:szCs w:val="28"/>
          <w:highlight w:val="none"/>
        </w:rPr>
        <w:t>　　（</w:t>
      </w:r>
      <w:r>
        <w:rPr>
          <w:rFonts w:ascii="Calibri" w:hAnsi="Calibri"/>
          <w:color w:val="auto"/>
          <w:sz w:val="28"/>
          <w:szCs w:val="28"/>
          <w:highlight w:val="none"/>
        </w:rPr>
        <w:t>1</w:t>
      </w:r>
      <w:r>
        <w:rPr>
          <w:rFonts w:hint="eastAsia" w:ascii="Calibri" w:hAnsi="Calibri"/>
          <w:color w:val="auto"/>
          <w:sz w:val="28"/>
          <w:szCs w:val="28"/>
          <w:highlight w:val="none"/>
        </w:rPr>
        <w:t>）擅自转让、出租特许经营权的；</w:t>
      </w:r>
      <w:r>
        <w:rPr>
          <w:rFonts w:ascii="Calibri" w:eastAsia="Calibri"/>
          <w:color w:val="auto"/>
          <w:sz w:val="28"/>
          <w:szCs w:val="28"/>
          <w:highlight w:val="none"/>
        </w:rPr>
        <w:br w:type="textWrapping"/>
      </w:r>
      <w:r>
        <w:rPr>
          <w:rFonts w:hint="eastAsia" w:ascii="Calibri" w:hAnsi="Calibri"/>
          <w:color w:val="auto"/>
          <w:sz w:val="28"/>
          <w:szCs w:val="28"/>
          <w:highlight w:val="none"/>
        </w:rPr>
        <w:t>　　（</w:t>
      </w:r>
      <w:r>
        <w:rPr>
          <w:rFonts w:ascii="Calibri" w:hAnsi="Calibri"/>
          <w:color w:val="auto"/>
          <w:sz w:val="28"/>
          <w:szCs w:val="28"/>
          <w:highlight w:val="none"/>
        </w:rPr>
        <w:t>2</w:t>
      </w:r>
      <w:r>
        <w:rPr>
          <w:rFonts w:hint="eastAsia" w:ascii="Calibri" w:hAnsi="Calibri"/>
          <w:color w:val="auto"/>
          <w:sz w:val="28"/>
          <w:szCs w:val="28"/>
          <w:highlight w:val="none"/>
        </w:rPr>
        <w:t>）擅自将所经营的燃气设施为第三人的利益提供抵押担保的；</w:t>
      </w:r>
      <w:r>
        <w:rPr>
          <w:rFonts w:ascii="Calibri" w:eastAsia="Calibri"/>
          <w:color w:val="auto"/>
          <w:sz w:val="28"/>
          <w:szCs w:val="28"/>
          <w:highlight w:val="none"/>
        </w:rPr>
        <w:br w:type="textWrapping"/>
      </w:r>
      <w:r>
        <w:rPr>
          <w:rFonts w:hint="eastAsia" w:ascii="Calibri" w:hAnsi="Calibri"/>
          <w:color w:val="auto"/>
          <w:sz w:val="28"/>
          <w:szCs w:val="28"/>
          <w:highlight w:val="none"/>
        </w:rPr>
        <w:t>　　（</w:t>
      </w:r>
      <w:r>
        <w:rPr>
          <w:rFonts w:ascii="Calibri" w:hAnsi="Calibri"/>
          <w:color w:val="auto"/>
          <w:sz w:val="28"/>
          <w:szCs w:val="28"/>
          <w:highlight w:val="none"/>
        </w:rPr>
        <w:t>3</w:t>
      </w:r>
      <w:r>
        <w:rPr>
          <w:rFonts w:hint="eastAsia" w:ascii="Calibri" w:hAnsi="Calibri"/>
          <w:color w:val="auto"/>
          <w:sz w:val="28"/>
          <w:szCs w:val="28"/>
          <w:highlight w:val="none"/>
        </w:rPr>
        <w:t>）因乙方故意或者重大过失，发生特别重大责任事故的；</w:t>
      </w:r>
      <w:r>
        <w:rPr>
          <w:rFonts w:ascii="Calibri" w:eastAsia="Calibri"/>
          <w:color w:val="auto"/>
          <w:sz w:val="28"/>
          <w:szCs w:val="28"/>
          <w:highlight w:val="none"/>
        </w:rPr>
        <w:br w:type="textWrapping"/>
      </w:r>
      <w:r>
        <w:rPr>
          <w:rFonts w:hint="eastAsia" w:ascii="Calibri" w:hAnsi="Calibri"/>
          <w:color w:val="auto"/>
          <w:sz w:val="28"/>
          <w:szCs w:val="28"/>
          <w:highlight w:val="none"/>
        </w:rPr>
        <w:t>　　（</w:t>
      </w:r>
      <w:r>
        <w:rPr>
          <w:rFonts w:ascii="Calibri" w:hAnsi="Calibri"/>
          <w:color w:val="auto"/>
          <w:sz w:val="28"/>
          <w:szCs w:val="28"/>
          <w:highlight w:val="none"/>
        </w:rPr>
        <w:t>4</w:t>
      </w:r>
      <w:r>
        <w:rPr>
          <w:rFonts w:hint="eastAsia" w:ascii="Calibri" w:hAnsi="Calibri"/>
          <w:color w:val="auto"/>
          <w:sz w:val="28"/>
          <w:szCs w:val="28"/>
          <w:highlight w:val="none"/>
        </w:rPr>
        <w:t>）擅自停业、歇业，严重影响到社会公共利益和安全的；</w:t>
      </w:r>
      <w:r>
        <w:rPr>
          <w:rFonts w:ascii="Calibri" w:eastAsia="Calibri"/>
          <w:color w:val="auto"/>
          <w:sz w:val="28"/>
          <w:szCs w:val="28"/>
          <w:highlight w:val="none"/>
        </w:rPr>
        <w:br w:type="textWrapping"/>
      </w:r>
      <w:r>
        <w:rPr>
          <w:rFonts w:hint="eastAsia" w:ascii="Calibri" w:hAnsi="Calibri"/>
          <w:color w:val="auto"/>
          <w:sz w:val="28"/>
          <w:szCs w:val="28"/>
          <w:highlight w:val="none"/>
        </w:rPr>
        <w:t>　　（</w:t>
      </w:r>
      <w:r>
        <w:rPr>
          <w:rFonts w:ascii="Calibri" w:hAnsi="Calibri"/>
          <w:color w:val="auto"/>
          <w:sz w:val="28"/>
          <w:szCs w:val="28"/>
          <w:highlight w:val="none"/>
        </w:rPr>
        <w:t>5</w:t>
      </w:r>
      <w:r>
        <w:rPr>
          <w:rFonts w:hint="eastAsia" w:ascii="Calibri" w:hAnsi="Calibri"/>
          <w:color w:val="auto"/>
          <w:sz w:val="28"/>
          <w:szCs w:val="28"/>
          <w:highlight w:val="none"/>
        </w:rPr>
        <w:t>）法律禁止的其他行为。</w:t>
      </w:r>
      <w:r>
        <w:rPr>
          <w:rFonts w:ascii="Calibri" w:eastAsia="Calibri"/>
          <w:color w:val="auto"/>
          <w:sz w:val="28"/>
          <w:szCs w:val="28"/>
          <w:highlight w:val="none"/>
        </w:rPr>
        <w:br w:type="textWrapping"/>
      </w:r>
      <w:r>
        <w:rPr>
          <w:rFonts w:hint="eastAsia" w:ascii="Calibri" w:hAnsi="Calibri"/>
          <w:b/>
          <w:color w:val="auto"/>
          <w:sz w:val="28"/>
          <w:szCs w:val="28"/>
          <w:highlight w:val="none"/>
        </w:rPr>
        <w:t>第四章　特许经营协议的终止</w:t>
      </w:r>
      <w:r>
        <w:rPr>
          <w:rFonts w:ascii="Calibri" w:eastAsia="Calibri"/>
          <w:color w:val="auto"/>
          <w:sz w:val="28"/>
          <w:szCs w:val="28"/>
          <w:highlight w:val="none"/>
        </w:rPr>
        <w:br w:type="textWrapping"/>
      </w:r>
      <w:r>
        <w:rPr>
          <w:rFonts w:ascii="Calibri" w:hAnsi="Calibri"/>
          <w:b/>
          <w:color w:val="auto"/>
          <w:sz w:val="28"/>
          <w:szCs w:val="28"/>
          <w:highlight w:val="none"/>
        </w:rPr>
        <w:t xml:space="preserve"> 4</w:t>
      </w:r>
      <w:r>
        <w:rPr>
          <w:rFonts w:hint="eastAsia" w:ascii="Calibri" w:hAnsi="Calibri"/>
          <w:b/>
          <w:color w:val="auto"/>
          <w:sz w:val="28"/>
          <w:szCs w:val="28"/>
          <w:highlight w:val="none"/>
        </w:rPr>
        <w:t>．</w:t>
      </w:r>
      <w:r>
        <w:rPr>
          <w:rFonts w:ascii="Calibri" w:hAnsi="Calibri"/>
          <w:b/>
          <w:color w:val="auto"/>
          <w:sz w:val="28"/>
          <w:szCs w:val="28"/>
          <w:highlight w:val="none"/>
        </w:rPr>
        <w:t>1</w:t>
      </w:r>
      <w:r>
        <w:rPr>
          <w:rFonts w:hint="eastAsia" w:ascii="Calibri" w:hAnsi="Calibri"/>
          <w:b/>
          <w:color w:val="auto"/>
          <w:sz w:val="28"/>
          <w:szCs w:val="28"/>
          <w:highlight w:val="none"/>
        </w:rPr>
        <w:t>　期限届满终止</w:t>
      </w:r>
    </w:p>
    <w:p>
      <w:pPr>
        <w:spacing w:line="360" w:lineRule="auto"/>
        <w:rPr>
          <w:rFonts w:hint="eastAsia" w:ascii="Calibri" w:hAnsi="Calibri"/>
          <w:color w:val="auto"/>
          <w:sz w:val="28"/>
          <w:szCs w:val="28"/>
          <w:highlight w:val="none"/>
        </w:rPr>
      </w:pPr>
      <w:r>
        <w:rPr>
          <w:rFonts w:hint="eastAsia" w:ascii="Calibri" w:hAnsi="Calibri"/>
          <w:color w:val="auto"/>
          <w:sz w:val="28"/>
          <w:szCs w:val="28"/>
          <w:highlight w:val="none"/>
          <w:lang w:val="en-US" w:eastAsia="zh-CN"/>
        </w:rPr>
        <w:t xml:space="preserve">    </w:t>
      </w:r>
      <w:r>
        <w:rPr>
          <w:rFonts w:hint="eastAsia" w:ascii="Calibri" w:hAnsi="Calibri"/>
          <w:color w:val="auto"/>
          <w:sz w:val="28"/>
          <w:szCs w:val="28"/>
          <w:highlight w:val="none"/>
        </w:rPr>
        <w:t xml:space="preserve">特许经营期限届满时，特许经营协议自动终止。在特许经营期限届满，特许经营权授权主体重新选择特许经营者时，在同等条件下，乙方有优先权。 </w:t>
      </w:r>
    </w:p>
    <w:p>
      <w:pPr>
        <w:spacing w:line="360" w:lineRule="auto"/>
        <w:rPr>
          <w:rFonts w:ascii="Calibri" w:hAnsi="Calibri"/>
          <w:color w:val="auto"/>
          <w:sz w:val="28"/>
          <w:szCs w:val="28"/>
          <w:highlight w:val="none"/>
        </w:rPr>
      </w:pPr>
      <w:r>
        <w:rPr>
          <w:rFonts w:ascii="Calibri" w:hAnsi="Calibri"/>
          <w:b/>
          <w:color w:val="auto"/>
          <w:sz w:val="28"/>
          <w:szCs w:val="28"/>
          <w:highlight w:val="none"/>
        </w:rPr>
        <w:t>4</w:t>
      </w:r>
      <w:r>
        <w:rPr>
          <w:rFonts w:hint="eastAsia" w:ascii="Calibri" w:hAnsi="Calibri"/>
          <w:b/>
          <w:color w:val="auto"/>
          <w:sz w:val="28"/>
          <w:szCs w:val="28"/>
          <w:highlight w:val="none"/>
        </w:rPr>
        <w:t>．</w:t>
      </w:r>
      <w:r>
        <w:rPr>
          <w:rFonts w:ascii="Calibri" w:hAnsi="Calibri"/>
          <w:b/>
          <w:color w:val="auto"/>
          <w:sz w:val="28"/>
          <w:szCs w:val="28"/>
          <w:highlight w:val="none"/>
        </w:rPr>
        <w:t>2</w:t>
      </w:r>
      <w:r>
        <w:rPr>
          <w:rFonts w:hint="eastAsia" w:ascii="Calibri" w:hAnsi="Calibri"/>
          <w:b/>
          <w:color w:val="auto"/>
          <w:sz w:val="28"/>
          <w:szCs w:val="28"/>
          <w:highlight w:val="none"/>
        </w:rPr>
        <w:t>　提前终止</w:t>
      </w:r>
      <w:r>
        <w:rPr>
          <w:rFonts w:ascii="Calibri" w:eastAsia="Calibri"/>
          <w:color w:val="auto"/>
          <w:sz w:val="28"/>
          <w:szCs w:val="28"/>
          <w:highlight w:val="none"/>
        </w:rPr>
        <w:br w:type="textWrapping"/>
      </w:r>
      <w:r>
        <w:rPr>
          <w:rFonts w:hint="eastAsia" w:ascii="Calibri" w:hAnsi="Calibri"/>
          <w:color w:val="auto"/>
          <w:sz w:val="28"/>
          <w:szCs w:val="28"/>
          <w:highlight w:val="none"/>
        </w:rPr>
        <w:t>　</w:t>
      </w:r>
      <w:r>
        <w:rPr>
          <w:rFonts w:hint="eastAsia" w:ascii="Calibri" w:hAnsi="Calibri"/>
          <w:color w:val="auto"/>
          <w:sz w:val="28"/>
          <w:szCs w:val="28"/>
          <w:highlight w:val="none"/>
          <w:lang w:val="en-US" w:eastAsia="zh-CN"/>
        </w:rPr>
        <w:t xml:space="preserve"> </w:t>
      </w:r>
      <w:r>
        <w:rPr>
          <w:rFonts w:hint="eastAsia" w:ascii="Calibri" w:hAnsi="Calibri"/>
          <w:color w:val="auto"/>
          <w:sz w:val="28"/>
          <w:szCs w:val="28"/>
          <w:highlight w:val="none"/>
        </w:rPr>
        <w:t>（</w:t>
      </w:r>
      <w:r>
        <w:rPr>
          <w:rFonts w:ascii="Calibri" w:hAnsi="Calibri"/>
          <w:color w:val="auto"/>
          <w:sz w:val="28"/>
          <w:szCs w:val="28"/>
          <w:highlight w:val="none"/>
        </w:rPr>
        <w:t>1</w:t>
      </w:r>
      <w:r>
        <w:rPr>
          <w:rFonts w:hint="eastAsia" w:ascii="Calibri" w:hAnsi="Calibri"/>
          <w:color w:val="auto"/>
          <w:sz w:val="28"/>
          <w:szCs w:val="28"/>
          <w:highlight w:val="none"/>
        </w:rPr>
        <w:t>）因不可抗力或一方认为有必要时，经甲乙双方协商可以提前终止本协议，并签订提前终止协议。协商不能达成一致时，任何一方不得擅自提前终止本协议；</w:t>
      </w:r>
      <w:r>
        <w:rPr>
          <w:rFonts w:ascii="Calibri" w:eastAsia="Calibri"/>
          <w:color w:val="auto"/>
          <w:sz w:val="28"/>
          <w:szCs w:val="28"/>
          <w:highlight w:val="none"/>
        </w:rPr>
        <w:br w:type="textWrapping"/>
      </w:r>
      <w:r>
        <w:rPr>
          <w:rFonts w:hint="eastAsia" w:ascii="Calibri" w:hAnsi="Calibri"/>
          <w:color w:val="auto"/>
          <w:sz w:val="28"/>
          <w:szCs w:val="28"/>
          <w:highlight w:val="none"/>
        </w:rPr>
        <w:t>　</w:t>
      </w:r>
      <w:r>
        <w:rPr>
          <w:rFonts w:hint="eastAsia" w:ascii="Calibri" w:hAnsi="Calibri"/>
          <w:color w:val="auto"/>
          <w:sz w:val="28"/>
          <w:szCs w:val="28"/>
          <w:highlight w:val="none"/>
          <w:lang w:val="en-US" w:eastAsia="zh-CN"/>
        </w:rPr>
        <w:t xml:space="preserve"> </w:t>
      </w:r>
      <w:r>
        <w:rPr>
          <w:rFonts w:hint="eastAsia" w:ascii="Calibri" w:hAnsi="Calibri"/>
          <w:color w:val="auto"/>
          <w:sz w:val="28"/>
          <w:szCs w:val="28"/>
          <w:highlight w:val="none"/>
        </w:rPr>
        <w:t>（</w:t>
      </w:r>
      <w:r>
        <w:rPr>
          <w:rFonts w:ascii="Calibri" w:hAnsi="Calibri"/>
          <w:color w:val="auto"/>
          <w:sz w:val="28"/>
          <w:szCs w:val="28"/>
          <w:highlight w:val="none"/>
        </w:rPr>
        <w:t>2</w:t>
      </w:r>
      <w:r>
        <w:rPr>
          <w:rFonts w:hint="eastAsia" w:ascii="Calibri" w:hAnsi="Calibri"/>
          <w:color w:val="auto"/>
          <w:sz w:val="28"/>
          <w:szCs w:val="28"/>
          <w:highlight w:val="none"/>
        </w:rPr>
        <w:t>）因特许经营权被取消，双方终止执行本协议。</w:t>
      </w:r>
      <w:r>
        <w:rPr>
          <w:rFonts w:ascii="Calibri" w:eastAsia="Calibri"/>
          <w:color w:val="auto"/>
          <w:sz w:val="28"/>
          <w:szCs w:val="28"/>
          <w:highlight w:val="none"/>
        </w:rPr>
        <w:br w:type="textWrapping"/>
      </w:r>
      <w:r>
        <w:rPr>
          <w:rFonts w:ascii="Calibri" w:hAnsi="Calibri"/>
          <w:b/>
          <w:color w:val="auto"/>
          <w:sz w:val="28"/>
          <w:szCs w:val="28"/>
          <w:highlight w:val="none"/>
        </w:rPr>
        <w:t>4</w:t>
      </w:r>
      <w:r>
        <w:rPr>
          <w:rFonts w:hint="eastAsia" w:ascii="Calibri" w:hAnsi="Calibri"/>
          <w:b/>
          <w:color w:val="auto"/>
          <w:sz w:val="28"/>
          <w:szCs w:val="28"/>
          <w:highlight w:val="none"/>
        </w:rPr>
        <w:t>．</w:t>
      </w:r>
      <w:r>
        <w:rPr>
          <w:rFonts w:ascii="Calibri" w:hAnsi="Calibri"/>
          <w:b/>
          <w:color w:val="auto"/>
          <w:sz w:val="28"/>
          <w:szCs w:val="28"/>
          <w:highlight w:val="none"/>
        </w:rPr>
        <w:t>3</w:t>
      </w:r>
      <w:r>
        <w:rPr>
          <w:rFonts w:hint="eastAsia" w:ascii="Calibri" w:hAnsi="Calibri"/>
          <w:b/>
          <w:color w:val="auto"/>
          <w:sz w:val="28"/>
          <w:szCs w:val="28"/>
          <w:highlight w:val="none"/>
        </w:rPr>
        <w:t>　特许经营终止协议</w:t>
      </w:r>
      <w:r>
        <w:rPr>
          <w:rFonts w:ascii="Calibri" w:eastAsia="Calibri"/>
          <w:color w:val="auto"/>
          <w:sz w:val="28"/>
          <w:szCs w:val="28"/>
          <w:highlight w:val="none"/>
        </w:rPr>
        <w:br w:type="textWrapping"/>
      </w:r>
      <w:r>
        <w:rPr>
          <w:rFonts w:hint="eastAsia" w:ascii="Calibri" w:hAnsi="Calibri"/>
          <w:color w:val="auto"/>
          <w:sz w:val="28"/>
          <w:szCs w:val="28"/>
          <w:highlight w:val="none"/>
        </w:rPr>
        <w:t>　　（</w:t>
      </w:r>
      <w:r>
        <w:rPr>
          <w:rFonts w:ascii="Calibri" w:hAnsi="Calibri"/>
          <w:color w:val="auto"/>
          <w:sz w:val="28"/>
          <w:szCs w:val="28"/>
          <w:highlight w:val="none"/>
        </w:rPr>
        <w:t>1</w:t>
      </w:r>
      <w:r>
        <w:rPr>
          <w:rFonts w:hint="eastAsia" w:ascii="Calibri" w:hAnsi="Calibri"/>
          <w:color w:val="auto"/>
          <w:sz w:val="28"/>
          <w:szCs w:val="28"/>
          <w:highlight w:val="none"/>
        </w:rPr>
        <w:t>）本协议因特许经营期限届满</w:t>
      </w:r>
      <w:r>
        <w:rPr>
          <w:rFonts w:hint="eastAsia" w:ascii="Calibri" w:hAnsi="Calibri"/>
          <w:color w:val="auto"/>
          <w:sz w:val="28"/>
          <w:szCs w:val="28"/>
          <w:highlight w:val="none"/>
          <w:lang w:eastAsia="zh-CN"/>
        </w:rPr>
        <w:t>前</w:t>
      </w:r>
      <w:r>
        <w:rPr>
          <w:rFonts w:hint="eastAsia" w:ascii="Calibri" w:hAnsi="Calibri"/>
          <w:color w:val="auto"/>
          <w:sz w:val="28"/>
          <w:szCs w:val="28"/>
          <w:highlight w:val="none"/>
        </w:rPr>
        <w:t>一方提出终止要求而终止的，双方应在终止日</w:t>
      </w:r>
      <w:r>
        <w:rPr>
          <w:rFonts w:ascii="Calibri" w:hAnsi="Calibri"/>
          <w:color w:val="auto"/>
          <w:sz w:val="28"/>
          <w:szCs w:val="28"/>
          <w:highlight w:val="none"/>
        </w:rPr>
        <w:t>180</w:t>
      </w:r>
      <w:r>
        <w:rPr>
          <w:rFonts w:hint="eastAsia" w:ascii="Calibri" w:hAnsi="Calibri"/>
          <w:color w:val="auto"/>
          <w:sz w:val="28"/>
          <w:szCs w:val="28"/>
          <w:highlight w:val="none"/>
        </w:rPr>
        <w:t>日前完成谈判，并签署终止协议；</w:t>
      </w:r>
      <w:r>
        <w:rPr>
          <w:rFonts w:ascii="Calibri" w:eastAsia="Calibri"/>
          <w:color w:val="auto"/>
          <w:sz w:val="28"/>
          <w:szCs w:val="28"/>
          <w:highlight w:val="none"/>
        </w:rPr>
        <w:br w:type="textWrapping"/>
      </w:r>
      <w:r>
        <w:rPr>
          <w:rFonts w:hint="eastAsia" w:ascii="Calibri" w:hAnsi="Calibri"/>
          <w:color w:val="auto"/>
          <w:sz w:val="28"/>
          <w:szCs w:val="28"/>
          <w:highlight w:val="none"/>
        </w:rPr>
        <w:t>　　（</w:t>
      </w:r>
      <w:r>
        <w:rPr>
          <w:rFonts w:ascii="Calibri" w:hAnsi="Calibri"/>
          <w:color w:val="auto"/>
          <w:sz w:val="28"/>
          <w:szCs w:val="28"/>
          <w:highlight w:val="none"/>
        </w:rPr>
        <w:t>2</w:t>
      </w:r>
      <w:r>
        <w:rPr>
          <w:rFonts w:hint="eastAsia" w:ascii="Calibri" w:hAnsi="Calibri"/>
          <w:color w:val="auto"/>
          <w:sz w:val="28"/>
          <w:szCs w:val="28"/>
          <w:highlight w:val="none"/>
        </w:rPr>
        <w:t>）本协议因特许经营权被取消而终止的，甲乙双方应在终止</w:t>
      </w:r>
      <w:r>
        <w:rPr>
          <w:rFonts w:ascii="Calibri" w:hAnsi="Calibri"/>
          <w:color w:val="auto"/>
          <w:sz w:val="28"/>
          <w:szCs w:val="28"/>
          <w:highlight w:val="none"/>
        </w:rPr>
        <w:t>180</w:t>
      </w:r>
      <w:r>
        <w:rPr>
          <w:rFonts w:hint="eastAsia" w:ascii="Calibri" w:hAnsi="Calibri"/>
          <w:color w:val="auto"/>
          <w:sz w:val="28"/>
          <w:szCs w:val="28"/>
          <w:highlight w:val="none"/>
        </w:rPr>
        <w:t>日前签署终止协议。</w:t>
      </w:r>
      <w:r>
        <w:rPr>
          <w:rFonts w:ascii="Calibri" w:eastAsia="Calibri"/>
          <w:color w:val="auto"/>
          <w:sz w:val="28"/>
          <w:szCs w:val="28"/>
          <w:highlight w:val="none"/>
        </w:rPr>
        <w:br w:type="textWrapping"/>
      </w:r>
      <w:r>
        <w:rPr>
          <w:rFonts w:ascii="Calibri" w:hAnsi="Calibri"/>
          <w:b/>
          <w:color w:val="auto"/>
          <w:sz w:val="28"/>
          <w:szCs w:val="28"/>
          <w:highlight w:val="none"/>
        </w:rPr>
        <w:t>4</w:t>
      </w:r>
      <w:r>
        <w:rPr>
          <w:rFonts w:hint="eastAsia" w:ascii="Calibri" w:hAnsi="Calibri"/>
          <w:b/>
          <w:color w:val="auto"/>
          <w:sz w:val="28"/>
          <w:szCs w:val="28"/>
          <w:highlight w:val="none"/>
        </w:rPr>
        <w:t>．</w:t>
      </w:r>
      <w:r>
        <w:rPr>
          <w:rFonts w:ascii="Calibri" w:hAnsi="Calibri"/>
          <w:b/>
          <w:color w:val="auto"/>
          <w:sz w:val="28"/>
          <w:szCs w:val="28"/>
          <w:highlight w:val="none"/>
        </w:rPr>
        <w:t>4</w:t>
      </w:r>
      <w:r>
        <w:rPr>
          <w:rFonts w:hint="eastAsia" w:ascii="Calibri" w:hAnsi="Calibri"/>
          <w:b/>
          <w:color w:val="auto"/>
          <w:sz w:val="28"/>
          <w:szCs w:val="28"/>
          <w:highlight w:val="none"/>
        </w:rPr>
        <w:t>资产归属与处置原则</w:t>
      </w:r>
      <w:r>
        <w:rPr>
          <w:rFonts w:ascii="Calibri" w:eastAsia="Calibri"/>
          <w:color w:val="auto"/>
          <w:sz w:val="28"/>
          <w:szCs w:val="28"/>
          <w:highlight w:val="none"/>
        </w:rPr>
        <w:br w:type="textWrapping"/>
      </w:r>
      <w:r>
        <w:rPr>
          <w:rFonts w:hint="eastAsia" w:ascii="Calibri" w:hAnsi="Calibri"/>
          <w:color w:val="auto"/>
          <w:sz w:val="28"/>
          <w:szCs w:val="28"/>
          <w:highlight w:val="none"/>
        </w:rPr>
        <w:t>　　（</w:t>
      </w:r>
      <w:r>
        <w:rPr>
          <w:rFonts w:ascii="Calibri" w:hAnsi="Calibri"/>
          <w:color w:val="auto"/>
          <w:sz w:val="28"/>
          <w:szCs w:val="28"/>
          <w:highlight w:val="none"/>
        </w:rPr>
        <w:t>1</w:t>
      </w:r>
      <w:r>
        <w:rPr>
          <w:rFonts w:hint="eastAsia" w:ascii="Calibri" w:hAnsi="Calibri"/>
          <w:color w:val="auto"/>
          <w:sz w:val="28"/>
          <w:szCs w:val="28"/>
          <w:highlight w:val="none"/>
        </w:rPr>
        <w:t>）谁投资谁所有；</w:t>
      </w:r>
      <w:r>
        <w:rPr>
          <w:rFonts w:ascii="Calibri" w:eastAsia="Calibri"/>
          <w:color w:val="auto"/>
          <w:sz w:val="28"/>
          <w:szCs w:val="28"/>
          <w:highlight w:val="none"/>
        </w:rPr>
        <w:br w:type="textWrapping"/>
      </w:r>
      <w:r>
        <w:rPr>
          <w:rFonts w:hint="eastAsia" w:ascii="Calibri" w:hAnsi="Calibri"/>
          <w:color w:val="auto"/>
          <w:sz w:val="28"/>
          <w:szCs w:val="28"/>
          <w:highlight w:val="none"/>
        </w:rPr>
        <w:t>　　（</w:t>
      </w:r>
      <w:r>
        <w:rPr>
          <w:rFonts w:ascii="Calibri" w:hAnsi="Calibri"/>
          <w:color w:val="auto"/>
          <w:sz w:val="28"/>
          <w:szCs w:val="28"/>
          <w:highlight w:val="none"/>
        </w:rPr>
        <w:t>2</w:t>
      </w:r>
      <w:r>
        <w:rPr>
          <w:rFonts w:hint="eastAsia" w:ascii="Calibri" w:hAnsi="Calibri"/>
          <w:color w:val="auto"/>
          <w:sz w:val="28"/>
          <w:szCs w:val="28"/>
          <w:highlight w:val="none"/>
        </w:rPr>
        <w:t>）资产处置以甲乙双方认定的中介机构对乙方进行资产评估而出具的经甲乙双方认可的评估价格为依据；</w:t>
      </w:r>
      <w:r>
        <w:rPr>
          <w:rFonts w:ascii="Calibri" w:eastAsia="Calibri"/>
          <w:color w:val="auto"/>
          <w:sz w:val="28"/>
          <w:szCs w:val="28"/>
          <w:highlight w:val="none"/>
        </w:rPr>
        <w:br w:type="textWrapping"/>
      </w:r>
      <w:r>
        <w:rPr>
          <w:rFonts w:hint="eastAsia" w:ascii="Calibri" w:hAnsi="Calibri"/>
          <w:color w:val="auto"/>
          <w:sz w:val="28"/>
          <w:szCs w:val="28"/>
          <w:highlight w:val="none"/>
        </w:rPr>
        <w:t>　　（</w:t>
      </w:r>
      <w:r>
        <w:rPr>
          <w:rFonts w:ascii="Calibri" w:hAnsi="Calibri"/>
          <w:color w:val="auto"/>
          <w:sz w:val="28"/>
          <w:szCs w:val="28"/>
          <w:highlight w:val="none"/>
        </w:rPr>
        <w:t>3</w:t>
      </w:r>
      <w:r>
        <w:rPr>
          <w:rFonts w:hint="eastAsia" w:ascii="Calibri" w:hAnsi="Calibri"/>
          <w:color w:val="auto"/>
          <w:sz w:val="28"/>
          <w:szCs w:val="28"/>
          <w:highlight w:val="none"/>
        </w:rPr>
        <w:t>）乙方不再拥有特许经营权时，其资产必须进行移交，并按乙方认可的价格获得补偿。</w:t>
      </w:r>
      <w:r>
        <w:rPr>
          <w:rFonts w:ascii="Calibri" w:eastAsia="Calibri"/>
          <w:color w:val="auto"/>
          <w:sz w:val="28"/>
          <w:szCs w:val="28"/>
          <w:highlight w:val="none"/>
        </w:rPr>
        <w:br w:type="textWrapping"/>
      </w:r>
      <w:r>
        <w:rPr>
          <w:rFonts w:hint="eastAsia" w:ascii="Calibri" w:hAnsi="Calibri"/>
          <w:b/>
          <w:color w:val="auto"/>
          <w:sz w:val="28"/>
          <w:szCs w:val="28"/>
          <w:highlight w:val="none"/>
        </w:rPr>
        <w:t>第五章　燃气设施的建设、维护和更新</w:t>
      </w:r>
      <w:r>
        <w:rPr>
          <w:rFonts w:ascii="Calibri" w:eastAsia="Calibri"/>
          <w:b/>
          <w:color w:val="auto"/>
          <w:sz w:val="28"/>
          <w:szCs w:val="28"/>
          <w:highlight w:val="none"/>
        </w:rPr>
        <w:br w:type="textWrapping"/>
      </w:r>
      <w:r>
        <w:rPr>
          <w:rFonts w:ascii="Calibri" w:hAnsi="Calibri"/>
          <w:b/>
          <w:color w:val="auto"/>
          <w:sz w:val="28"/>
          <w:szCs w:val="28"/>
          <w:highlight w:val="none"/>
        </w:rPr>
        <w:t>5</w:t>
      </w:r>
      <w:r>
        <w:rPr>
          <w:rFonts w:hint="eastAsia" w:ascii="Calibri" w:hAnsi="Calibri"/>
          <w:b/>
          <w:color w:val="auto"/>
          <w:sz w:val="28"/>
          <w:szCs w:val="28"/>
          <w:highlight w:val="none"/>
        </w:rPr>
        <w:t>．</w:t>
      </w:r>
      <w:r>
        <w:rPr>
          <w:rFonts w:ascii="Calibri" w:hAnsi="Calibri"/>
          <w:b/>
          <w:color w:val="auto"/>
          <w:sz w:val="28"/>
          <w:szCs w:val="28"/>
          <w:highlight w:val="none"/>
        </w:rPr>
        <w:t>1</w:t>
      </w:r>
      <w:r>
        <w:rPr>
          <w:rFonts w:hint="eastAsia" w:ascii="Calibri" w:hAnsi="Calibri"/>
          <w:b/>
          <w:color w:val="auto"/>
          <w:sz w:val="28"/>
          <w:szCs w:val="28"/>
          <w:highlight w:val="none"/>
        </w:rPr>
        <w:t>　燃气设施建设</w:t>
      </w:r>
      <w:r>
        <w:rPr>
          <w:rFonts w:ascii="Calibri" w:hAnsi="Calibri"/>
          <w:b/>
          <w:color w:val="auto"/>
          <w:sz w:val="28"/>
          <w:szCs w:val="28"/>
          <w:highlight w:val="none"/>
        </w:rPr>
        <w:br w:type="textWrapping"/>
      </w:r>
      <w:r>
        <w:rPr>
          <w:rFonts w:hint="eastAsia" w:ascii="Calibri" w:hAnsi="Calibri"/>
          <w:b/>
          <w:color w:val="auto"/>
          <w:sz w:val="28"/>
          <w:szCs w:val="28"/>
          <w:highlight w:val="none"/>
          <w:lang w:val="en-US" w:eastAsia="zh-CN"/>
        </w:rPr>
        <w:t xml:space="preserve">    </w:t>
      </w:r>
      <w:r>
        <w:rPr>
          <w:rFonts w:hint="eastAsia" w:ascii="Calibri" w:hAnsi="Calibri"/>
          <w:color w:val="auto"/>
          <w:sz w:val="28"/>
          <w:szCs w:val="28"/>
          <w:highlight w:val="none"/>
        </w:rPr>
        <w:t>在本协议规定的区域范围内，乙方应根据城市规划和燃气专业规划的要求，承担市政燃气管道和设施的投资建设。</w:t>
      </w:r>
    </w:p>
    <w:p>
      <w:pPr>
        <w:spacing w:line="360" w:lineRule="auto"/>
        <w:rPr>
          <w:rFonts w:ascii="Calibri" w:hAnsi="Calibri"/>
          <w:color w:val="auto"/>
          <w:sz w:val="28"/>
          <w:szCs w:val="28"/>
          <w:highlight w:val="none"/>
        </w:rPr>
      </w:pPr>
      <w:r>
        <w:rPr>
          <w:rFonts w:ascii="Calibri" w:hAnsi="Calibri"/>
          <w:b/>
          <w:color w:val="auto"/>
          <w:sz w:val="28"/>
          <w:szCs w:val="28"/>
          <w:highlight w:val="none"/>
        </w:rPr>
        <w:t>5</w:t>
      </w:r>
      <w:r>
        <w:rPr>
          <w:rFonts w:hint="eastAsia" w:ascii="Calibri" w:hAnsi="Calibri"/>
          <w:b/>
          <w:color w:val="auto"/>
          <w:sz w:val="28"/>
          <w:szCs w:val="28"/>
          <w:highlight w:val="none"/>
        </w:rPr>
        <w:t>．</w:t>
      </w:r>
      <w:r>
        <w:rPr>
          <w:rFonts w:ascii="Calibri" w:hAnsi="Calibri"/>
          <w:b/>
          <w:color w:val="auto"/>
          <w:sz w:val="28"/>
          <w:szCs w:val="28"/>
          <w:highlight w:val="none"/>
        </w:rPr>
        <w:t>2</w:t>
      </w:r>
      <w:r>
        <w:rPr>
          <w:rFonts w:hint="eastAsia" w:ascii="Calibri" w:hAnsi="Calibri"/>
          <w:b/>
          <w:color w:val="auto"/>
          <w:sz w:val="28"/>
          <w:szCs w:val="28"/>
          <w:highlight w:val="none"/>
        </w:rPr>
        <w:t>　燃气设施建设用地</w:t>
      </w:r>
      <w:r>
        <w:rPr>
          <w:rFonts w:ascii="Calibri" w:eastAsia="Calibri"/>
          <w:color w:val="auto"/>
          <w:sz w:val="28"/>
          <w:szCs w:val="28"/>
          <w:highlight w:val="none"/>
        </w:rPr>
        <w:br w:type="textWrapping"/>
      </w:r>
      <w:r>
        <w:rPr>
          <w:rFonts w:hint="eastAsia" w:ascii="Calibri" w:eastAsia="宋体"/>
          <w:color w:val="auto"/>
          <w:sz w:val="28"/>
          <w:szCs w:val="28"/>
          <w:highlight w:val="none"/>
          <w:lang w:val="en-US" w:eastAsia="zh-CN"/>
        </w:rPr>
        <w:t xml:space="preserve">    </w:t>
      </w:r>
      <w:r>
        <w:rPr>
          <w:rFonts w:hint="eastAsia" w:ascii="Calibri" w:hAnsi="Calibri"/>
          <w:color w:val="auto"/>
          <w:sz w:val="28"/>
          <w:szCs w:val="28"/>
          <w:highlight w:val="none"/>
        </w:rPr>
        <w:t>特许经营期间，乙方在特许经营区域内投资建设的燃气设施，所占土地为公用事业用地，乙方按照城市基础设施用地交纳有关税费。</w:t>
      </w:r>
    </w:p>
    <w:p>
      <w:pPr>
        <w:spacing w:line="360" w:lineRule="auto"/>
        <w:rPr>
          <w:rFonts w:ascii="Calibri" w:hAnsi="Calibri"/>
          <w:b/>
          <w:color w:val="auto"/>
          <w:sz w:val="28"/>
          <w:szCs w:val="28"/>
          <w:highlight w:val="none"/>
        </w:rPr>
      </w:pPr>
      <w:r>
        <w:rPr>
          <w:rFonts w:ascii="Calibri" w:hAnsi="Calibri"/>
          <w:b/>
          <w:color w:val="auto"/>
          <w:sz w:val="28"/>
          <w:szCs w:val="28"/>
          <w:highlight w:val="none"/>
        </w:rPr>
        <w:t>5</w:t>
      </w:r>
      <w:r>
        <w:rPr>
          <w:rFonts w:hint="eastAsia" w:ascii="Calibri" w:hAnsi="Calibri"/>
          <w:b/>
          <w:color w:val="auto"/>
          <w:sz w:val="28"/>
          <w:szCs w:val="28"/>
          <w:highlight w:val="none"/>
        </w:rPr>
        <w:t>．</w:t>
      </w:r>
      <w:r>
        <w:rPr>
          <w:rFonts w:ascii="Calibri" w:hAnsi="Calibri"/>
          <w:b/>
          <w:color w:val="auto"/>
          <w:sz w:val="28"/>
          <w:szCs w:val="28"/>
          <w:highlight w:val="none"/>
        </w:rPr>
        <w:t>3</w:t>
      </w:r>
      <w:r>
        <w:rPr>
          <w:rFonts w:hint="eastAsia" w:ascii="Calibri" w:hAnsi="Calibri"/>
          <w:b/>
          <w:color w:val="auto"/>
          <w:sz w:val="28"/>
          <w:szCs w:val="28"/>
          <w:highlight w:val="none"/>
        </w:rPr>
        <w:t>　燃气设施运行、维修及更新</w:t>
      </w:r>
    </w:p>
    <w:p>
      <w:pPr>
        <w:spacing w:line="360" w:lineRule="auto"/>
        <w:ind w:firstLine="560" w:firstLineChars="200"/>
        <w:rPr>
          <w:rFonts w:ascii="Calibri" w:hAnsi="Calibri"/>
          <w:b/>
          <w:color w:val="auto"/>
          <w:sz w:val="28"/>
          <w:szCs w:val="28"/>
          <w:highlight w:val="none"/>
        </w:rPr>
      </w:pPr>
      <w:r>
        <w:rPr>
          <w:rFonts w:hint="eastAsia" w:ascii="Calibri" w:hAnsi="Calibri"/>
          <w:color w:val="auto"/>
          <w:sz w:val="28"/>
          <w:szCs w:val="28"/>
          <w:highlight w:val="none"/>
        </w:rPr>
        <w:t>特许经营期间，乙方应按照国家标准和地方标准以及相关规定，负责燃气设施运行、维修及更新。</w:t>
      </w:r>
      <w:r>
        <w:rPr>
          <w:rFonts w:ascii="Calibri" w:eastAsia="Calibri"/>
          <w:color w:val="auto"/>
          <w:sz w:val="28"/>
          <w:szCs w:val="28"/>
          <w:highlight w:val="none"/>
        </w:rPr>
        <w:br w:type="textWrapping"/>
      </w:r>
      <w:r>
        <w:rPr>
          <w:rFonts w:ascii="Calibri" w:hAnsi="Calibri"/>
          <w:b/>
          <w:color w:val="auto"/>
          <w:sz w:val="28"/>
          <w:szCs w:val="28"/>
          <w:highlight w:val="none"/>
        </w:rPr>
        <w:t>5</w:t>
      </w:r>
      <w:r>
        <w:rPr>
          <w:rFonts w:hint="eastAsia" w:ascii="Calibri" w:hAnsi="Calibri"/>
          <w:b/>
          <w:color w:val="auto"/>
          <w:sz w:val="28"/>
          <w:szCs w:val="28"/>
          <w:highlight w:val="none"/>
        </w:rPr>
        <w:t>．</w:t>
      </w:r>
      <w:r>
        <w:rPr>
          <w:rFonts w:ascii="Calibri" w:hAnsi="Calibri"/>
          <w:b/>
          <w:color w:val="auto"/>
          <w:sz w:val="28"/>
          <w:szCs w:val="28"/>
          <w:highlight w:val="none"/>
        </w:rPr>
        <w:t>4</w:t>
      </w:r>
      <w:r>
        <w:rPr>
          <w:rFonts w:hint="eastAsia" w:ascii="Calibri" w:hAnsi="Calibri"/>
          <w:b/>
          <w:color w:val="auto"/>
          <w:sz w:val="28"/>
          <w:szCs w:val="28"/>
          <w:highlight w:val="none"/>
        </w:rPr>
        <w:t>　燃气设施征用及补偿</w:t>
      </w:r>
      <w:r>
        <w:rPr>
          <w:rFonts w:ascii="Calibri" w:eastAsia="Calibri"/>
          <w:color w:val="auto"/>
          <w:sz w:val="28"/>
          <w:szCs w:val="28"/>
          <w:highlight w:val="none"/>
        </w:rPr>
        <w:br w:type="textWrapping"/>
      </w:r>
      <w:r>
        <w:rPr>
          <w:rFonts w:hint="eastAsia" w:ascii="Calibri" w:hAnsi="Calibri"/>
          <w:color w:val="auto"/>
          <w:sz w:val="28"/>
          <w:szCs w:val="28"/>
          <w:highlight w:val="none"/>
        </w:rPr>
        <w:t>　</w:t>
      </w:r>
      <w:r>
        <w:rPr>
          <w:rFonts w:hint="eastAsia" w:ascii="Calibri" w:hAnsi="Calibri"/>
          <w:color w:val="auto"/>
          <w:sz w:val="28"/>
          <w:szCs w:val="28"/>
          <w:highlight w:val="none"/>
          <w:lang w:val="en-US" w:eastAsia="zh-CN"/>
        </w:rPr>
        <w:t xml:space="preserve">  </w:t>
      </w:r>
      <w:r>
        <w:rPr>
          <w:rFonts w:hint="eastAsia" w:ascii="Calibri" w:hAnsi="Calibri"/>
          <w:color w:val="auto"/>
          <w:sz w:val="28"/>
          <w:szCs w:val="28"/>
          <w:highlight w:val="none"/>
        </w:rPr>
        <w:t>甲方因公共利益需要，依法征用燃气设施，乙方应予配合，甲方应给予乙方合理补偿。</w:t>
      </w:r>
      <w:r>
        <w:rPr>
          <w:rFonts w:ascii="Calibri" w:eastAsia="Calibri"/>
          <w:color w:val="auto"/>
          <w:sz w:val="28"/>
          <w:szCs w:val="28"/>
          <w:highlight w:val="none"/>
        </w:rPr>
        <w:br w:type="textWrapping"/>
      </w:r>
      <w:r>
        <w:rPr>
          <w:rFonts w:hint="eastAsia" w:ascii="Calibri" w:hAnsi="Calibri"/>
          <w:b/>
          <w:color w:val="auto"/>
          <w:sz w:val="28"/>
          <w:szCs w:val="28"/>
          <w:highlight w:val="none"/>
        </w:rPr>
        <w:t>第六章　供气安全</w:t>
      </w:r>
      <w:r>
        <w:rPr>
          <w:rFonts w:ascii="Calibri" w:eastAsia="Calibri"/>
          <w:color w:val="auto"/>
          <w:sz w:val="28"/>
          <w:szCs w:val="28"/>
          <w:highlight w:val="none"/>
        </w:rPr>
        <w:br w:type="textWrapping"/>
      </w:r>
      <w:r>
        <w:rPr>
          <w:rFonts w:ascii="Calibri" w:hAnsi="Calibri"/>
          <w:b/>
          <w:color w:val="auto"/>
          <w:sz w:val="28"/>
          <w:szCs w:val="28"/>
          <w:highlight w:val="none"/>
        </w:rPr>
        <w:t>6</w:t>
      </w:r>
      <w:r>
        <w:rPr>
          <w:rFonts w:hint="eastAsia" w:ascii="Calibri" w:hAnsi="Calibri"/>
          <w:b/>
          <w:color w:val="auto"/>
          <w:sz w:val="28"/>
          <w:szCs w:val="28"/>
          <w:highlight w:val="none"/>
        </w:rPr>
        <w:t>．</w:t>
      </w:r>
      <w:r>
        <w:rPr>
          <w:rFonts w:ascii="Calibri" w:hAnsi="Calibri"/>
          <w:b/>
          <w:color w:val="auto"/>
          <w:sz w:val="28"/>
          <w:szCs w:val="28"/>
          <w:highlight w:val="none"/>
        </w:rPr>
        <w:t>1</w:t>
      </w:r>
      <w:r>
        <w:rPr>
          <w:rFonts w:hint="eastAsia" w:ascii="Calibri" w:hAnsi="Calibri"/>
          <w:b/>
          <w:color w:val="auto"/>
          <w:sz w:val="28"/>
          <w:szCs w:val="28"/>
          <w:highlight w:val="none"/>
        </w:rPr>
        <w:t>　燃气安全要求</w:t>
      </w:r>
    </w:p>
    <w:p>
      <w:pPr>
        <w:spacing w:line="360" w:lineRule="auto"/>
        <w:ind w:firstLine="560" w:firstLineChars="200"/>
        <w:rPr>
          <w:rFonts w:ascii="Calibri" w:hAnsi="Calibri"/>
          <w:b/>
          <w:color w:val="auto"/>
          <w:sz w:val="28"/>
          <w:szCs w:val="28"/>
          <w:highlight w:val="none"/>
        </w:rPr>
      </w:pPr>
      <w:r>
        <w:rPr>
          <w:rFonts w:hint="eastAsia" w:ascii="Calibri" w:hAnsi="Calibri"/>
          <w:color w:val="auto"/>
          <w:sz w:val="28"/>
          <w:szCs w:val="28"/>
          <w:highlight w:val="none"/>
        </w:rPr>
        <w:t>甲乙双方须严格遵守国家和地方有关安全的法律、法规、规章及政策性文件，乙方承诺燃气供应、运行、质量、安全、服务符合国家、行业和地方相关标准，依法对特许经营区域内的管道燃气供气安全、公共安全和安全使用宣传负责。</w:t>
      </w:r>
      <w:r>
        <w:rPr>
          <w:rFonts w:ascii="Calibri" w:eastAsia="Calibri"/>
          <w:color w:val="auto"/>
          <w:sz w:val="28"/>
          <w:szCs w:val="28"/>
          <w:highlight w:val="none"/>
        </w:rPr>
        <w:br w:type="textWrapping"/>
      </w:r>
      <w:r>
        <w:rPr>
          <w:rFonts w:ascii="Calibri" w:hAnsi="Calibri"/>
          <w:b/>
          <w:color w:val="auto"/>
          <w:sz w:val="28"/>
          <w:szCs w:val="28"/>
          <w:highlight w:val="none"/>
        </w:rPr>
        <w:t>6</w:t>
      </w:r>
      <w:r>
        <w:rPr>
          <w:rFonts w:hint="eastAsia" w:ascii="Calibri" w:hAnsi="Calibri"/>
          <w:b/>
          <w:color w:val="auto"/>
          <w:sz w:val="28"/>
          <w:szCs w:val="28"/>
          <w:highlight w:val="none"/>
        </w:rPr>
        <w:t>．</w:t>
      </w:r>
      <w:r>
        <w:rPr>
          <w:rFonts w:ascii="Calibri" w:hAnsi="Calibri"/>
          <w:b/>
          <w:color w:val="auto"/>
          <w:sz w:val="28"/>
          <w:szCs w:val="28"/>
          <w:highlight w:val="none"/>
        </w:rPr>
        <w:t>2</w:t>
      </w:r>
      <w:r>
        <w:rPr>
          <w:rFonts w:hint="eastAsia" w:ascii="Calibri" w:hAnsi="Calibri"/>
          <w:b/>
          <w:color w:val="auto"/>
          <w:sz w:val="28"/>
          <w:szCs w:val="28"/>
          <w:highlight w:val="none"/>
        </w:rPr>
        <w:t>　燃气安全制度</w:t>
      </w:r>
    </w:p>
    <w:p>
      <w:pPr>
        <w:spacing w:line="360" w:lineRule="auto"/>
        <w:ind w:firstLine="560" w:firstLineChars="200"/>
        <w:rPr>
          <w:rFonts w:ascii="Calibri" w:hAnsi="Calibri"/>
          <w:color w:val="auto"/>
          <w:sz w:val="28"/>
          <w:szCs w:val="28"/>
          <w:highlight w:val="none"/>
        </w:rPr>
      </w:pPr>
      <w:r>
        <w:rPr>
          <w:rFonts w:hint="eastAsia" w:ascii="Calibri" w:hAnsi="Calibri"/>
          <w:color w:val="auto"/>
          <w:sz w:val="28"/>
          <w:szCs w:val="28"/>
          <w:highlight w:val="none"/>
        </w:rPr>
        <w:t>乙方应建立和完善安全生产责任制度，建立安全生产保证体系，保障燃气安全和稳定供应、运行和服务，防止责任事故发生；</w:t>
      </w:r>
      <w:r>
        <w:rPr>
          <w:rFonts w:ascii="Calibri" w:eastAsia="Calibri"/>
          <w:color w:val="auto"/>
          <w:sz w:val="28"/>
          <w:szCs w:val="28"/>
          <w:highlight w:val="none"/>
        </w:rPr>
        <w:br w:type="textWrapping"/>
      </w:r>
      <w:r>
        <w:rPr>
          <w:rFonts w:hint="eastAsia" w:ascii="Calibri" w:hAnsi="Calibri"/>
          <w:color w:val="auto"/>
          <w:sz w:val="28"/>
          <w:szCs w:val="28"/>
          <w:highlight w:val="none"/>
        </w:rPr>
        <w:t>　　对出现燃气事故和在事故期间，乙方应采取各种应急措施进行补救，尽量减少事故对用户和社会公众的影响，同时乙方必须按照国家有关安全管理规定向有关部门报告；</w:t>
      </w:r>
      <w:r>
        <w:rPr>
          <w:rFonts w:ascii="Calibri" w:eastAsia="Calibri"/>
          <w:color w:val="auto"/>
          <w:sz w:val="28"/>
          <w:szCs w:val="28"/>
          <w:highlight w:val="none"/>
        </w:rPr>
        <w:br w:type="textWrapping"/>
      </w:r>
      <w:r>
        <w:rPr>
          <w:rFonts w:hint="eastAsia" w:ascii="Calibri" w:hAnsi="Calibri"/>
          <w:color w:val="auto"/>
          <w:sz w:val="28"/>
          <w:szCs w:val="28"/>
          <w:highlight w:val="none"/>
        </w:rPr>
        <w:t>　　乙方要加强燃气安全巡检，消除安全隐患，对危及燃气设施安全的案情应及时制止，并报告有关部门，同时应进行宣传、解释、劝阻和书面告知违反规定的单位或个人进行整改。对逾期不改的，书面向甲方或行政执法部门报告。甲方接到乙方报告后，应及时协调执法部门予以查处。</w:t>
      </w:r>
    </w:p>
    <w:p>
      <w:pPr>
        <w:spacing w:line="360" w:lineRule="auto"/>
        <w:rPr>
          <w:rFonts w:ascii="Calibri" w:hAnsi="Calibri"/>
          <w:b/>
          <w:color w:val="auto"/>
          <w:sz w:val="28"/>
          <w:szCs w:val="28"/>
          <w:highlight w:val="none"/>
        </w:rPr>
      </w:pPr>
      <w:r>
        <w:rPr>
          <w:rFonts w:ascii="Calibri" w:hAnsi="Calibri"/>
          <w:b/>
          <w:color w:val="auto"/>
          <w:sz w:val="28"/>
          <w:szCs w:val="28"/>
          <w:highlight w:val="none"/>
        </w:rPr>
        <w:t>6</w:t>
      </w:r>
      <w:r>
        <w:rPr>
          <w:rFonts w:hint="eastAsia" w:ascii="Calibri" w:hAnsi="Calibri"/>
          <w:b/>
          <w:color w:val="auto"/>
          <w:sz w:val="28"/>
          <w:szCs w:val="28"/>
          <w:highlight w:val="none"/>
        </w:rPr>
        <w:t>．</w:t>
      </w:r>
      <w:r>
        <w:rPr>
          <w:rFonts w:ascii="Calibri" w:hAnsi="Calibri"/>
          <w:b/>
          <w:color w:val="auto"/>
          <w:sz w:val="28"/>
          <w:szCs w:val="28"/>
          <w:highlight w:val="none"/>
        </w:rPr>
        <w:t>3</w:t>
      </w:r>
      <w:r>
        <w:rPr>
          <w:rFonts w:hint="eastAsia" w:ascii="Calibri" w:hAnsi="Calibri"/>
          <w:b/>
          <w:color w:val="auto"/>
          <w:sz w:val="28"/>
          <w:szCs w:val="28"/>
          <w:highlight w:val="none"/>
        </w:rPr>
        <w:t>　管道燃气设施安全预防</w:t>
      </w:r>
    </w:p>
    <w:p>
      <w:pPr>
        <w:spacing w:line="360" w:lineRule="auto"/>
        <w:ind w:firstLine="560" w:firstLineChars="200"/>
        <w:rPr>
          <w:rFonts w:ascii="Calibri" w:hAnsi="Calibri"/>
          <w:b/>
          <w:color w:val="auto"/>
          <w:sz w:val="28"/>
          <w:szCs w:val="28"/>
          <w:highlight w:val="none"/>
        </w:rPr>
      </w:pPr>
      <w:r>
        <w:rPr>
          <w:rFonts w:hint="eastAsia" w:ascii="Calibri" w:hAnsi="Calibri"/>
          <w:color w:val="auto"/>
          <w:sz w:val="28"/>
          <w:szCs w:val="28"/>
          <w:highlight w:val="none"/>
        </w:rPr>
        <w:t>乙方应严格执行《城镇燃气设施运行、维护和抢修安全技术规程》的规定，严格运行、维护和抢修安全技术程序，对管道燃气设施和用户设施的运行状况及性能进行定期的巡检。必要时（发生自然灾害、重大安全事故等），乙方应对地下燃气管网进行安全质量评估，并将设施运行状况定期报告甲方。</w:t>
      </w:r>
      <w:r>
        <w:rPr>
          <w:rFonts w:ascii="Calibri" w:eastAsia="Calibri"/>
          <w:color w:val="auto"/>
          <w:sz w:val="28"/>
          <w:szCs w:val="28"/>
          <w:highlight w:val="none"/>
        </w:rPr>
        <w:br w:type="textWrapping"/>
      </w:r>
      <w:r>
        <w:rPr>
          <w:rFonts w:hint="eastAsia" w:ascii="Calibri" w:hAnsi="Calibri"/>
          <w:color w:val="auto"/>
          <w:sz w:val="28"/>
          <w:szCs w:val="28"/>
          <w:highlight w:val="none"/>
        </w:rPr>
        <w:t>　　乙方应在与用户签订的供用气合同中明确双方的安全责任。</w:t>
      </w:r>
      <w:r>
        <w:rPr>
          <w:rFonts w:ascii="Calibri" w:eastAsia="Calibri"/>
          <w:color w:val="auto"/>
          <w:sz w:val="28"/>
          <w:szCs w:val="28"/>
          <w:highlight w:val="none"/>
        </w:rPr>
        <w:br w:type="textWrapping"/>
      </w:r>
      <w:r>
        <w:rPr>
          <w:rFonts w:ascii="Calibri" w:hAnsi="Calibri"/>
          <w:b/>
          <w:color w:val="auto"/>
          <w:sz w:val="28"/>
          <w:szCs w:val="28"/>
          <w:highlight w:val="none"/>
        </w:rPr>
        <w:t>6</w:t>
      </w:r>
      <w:r>
        <w:rPr>
          <w:rFonts w:hint="eastAsia" w:ascii="Calibri" w:hAnsi="Calibri"/>
          <w:b/>
          <w:color w:val="auto"/>
          <w:sz w:val="28"/>
          <w:szCs w:val="28"/>
          <w:highlight w:val="none"/>
        </w:rPr>
        <w:t>．</w:t>
      </w:r>
      <w:r>
        <w:rPr>
          <w:rFonts w:ascii="Calibri" w:hAnsi="Calibri"/>
          <w:b/>
          <w:color w:val="auto"/>
          <w:sz w:val="28"/>
          <w:szCs w:val="28"/>
          <w:highlight w:val="none"/>
        </w:rPr>
        <w:t>4</w:t>
      </w:r>
      <w:r>
        <w:rPr>
          <w:rFonts w:hint="eastAsia" w:ascii="Calibri" w:hAnsi="Calibri"/>
          <w:b/>
          <w:color w:val="auto"/>
          <w:sz w:val="28"/>
          <w:szCs w:val="28"/>
          <w:highlight w:val="none"/>
        </w:rPr>
        <w:t>　强制保险</w:t>
      </w:r>
    </w:p>
    <w:p>
      <w:pPr>
        <w:spacing w:line="360" w:lineRule="auto"/>
        <w:ind w:firstLine="560" w:firstLineChars="200"/>
        <w:rPr>
          <w:rFonts w:ascii="Calibri" w:hAnsi="Calibri"/>
          <w:b/>
          <w:color w:val="auto"/>
          <w:sz w:val="28"/>
          <w:szCs w:val="28"/>
          <w:highlight w:val="none"/>
        </w:rPr>
      </w:pPr>
      <w:r>
        <w:rPr>
          <w:rFonts w:hint="eastAsia" w:ascii="Calibri" w:hAnsi="Calibri"/>
          <w:color w:val="auto"/>
          <w:sz w:val="28"/>
          <w:szCs w:val="28"/>
          <w:highlight w:val="none"/>
        </w:rPr>
        <w:t>乙方应针对燃气设施安全、公共责任安全、用户安全购买维持适当的保险，并承担保险费用。</w:t>
      </w:r>
      <w:r>
        <w:rPr>
          <w:rFonts w:ascii="Calibri" w:eastAsia="Calibri"/>
          <w:color w:val="auto"/>
          <w:sz w:val="28"/>
          <w:szCs w:val="28"/>
          <w:highlight w:val="none"/>
        </w:rPr>
        <w:br w:type="textWrapping"/>
      </w:r>
      <w:r>
        <w:rPr>
          <w:rFonts w:ascii="Calibri" w:hAnsi="Calibri"/>
          <w:b/>
          <w:color w:val="auto"/>
          <w:sz w:val="28"/>
          <w:szCs w:val="28"/>
          <w:highlight w:val="none"/>
        </w:rPr>
        <w:t>6</w:t>
      </w:r>
      <w:r>
        <w:rPr>
          <w:rFonts w:hint="eastAsia" w:ascii="Calibri" w:hAnsi="Calibri"/>
          <w:b/>
          <w:color w:val="auto"/>
          <w:sz w:val="28"/>
          <w:szCs w:val="28"/>
          <w:highlight w:val="none"/>
        </w:rPr>
        <w:t>．</w:t>
      </w:r>
      <w:r>
        <w:rPr>
          <w:rFonts w:ascii="Calibri" w:hAnsi="Calibri"/>
          <w:b/>
          <w:color w:val="auto"/>
          <w:sz w:val="28"/>
          <w:szCs w:val="28"/>
          <w:highlight w:val="none"/>
        </w:rPr>
        <w:t>5</w:t>
      </w:r>
      <w:r>
        <w:rPr>
          <w:rFonts w:hint="eastAsia" w:ascii="Calibri" w:hAnsi="Calibri"/>
          <w:b/>
          <w:color w:val="auto"/>
          <w:sz w:val="28"/>
          <w:szCs w:val="28"/>
          <w:highlight w:val="none"/>
        </w:rPr>
        <w:t>　应急抢修抢险</w:t>
      </w:r>
    </w:p>
    <w:p>
      <w:pPr>
        <w:spacing w:line="360" w:lineRule="auto"/>
        <w:ind w:firstLine="560" w:firstLineChars="200"/>
        <w:rPr>
          <w:rFonts w:ascii="Calibri" w:hAnsi="Calibri"/>
          <w:b/>
          <w:color w:val="auto"/>
          <w:sz w:val="28"/>
          <w:szCs w:val="28"/>
          <w:highlight w:val="none"/>
        </w:rPr>
      </w:pPr>
      <w:r>
        <w:rPr>
          <w:rFonts w:hint="eastAsia" w:ascii="Calibri" w:hAnsi="Calibri"/>
          <w:color w:val="auto"/>
          <w:sz w:val="28"/>
          <w:szCs w:val="28"/>
          <w:highlight w:val="none"/>
        </w:rPr>
        <w:t>乙方要建立应急抢修抢险救灾预案和相应的组织、指挥、设备、物资等保障体系并保证在出现事关燃气应急事故时，保障体系能够正常启动。乙方要建立管道燃气设施应急抢修队伍，提供</w:t>
      </w:r>
      <w:r>
        <w:rPr>
          <w:rFonts w:ascii="Calibri" w:hAnsi="Calibri"/>
          <w:color w:val="auto"/>
          <w:sz w:val="28"/>
          <w:szCs w:val="28"/>
          <w:highlight w:val="none"/>
        </w:rPr>
        <w:t>24</w:t>
      </w:r>
      <w:r>
        <w:rPr>
          <w:rFonts w:hint="eastAsia" w:ascii="Calibri" w:hAnsi="Calibri"/>
          <w:color w:val="auto"/>
          <w:sz w:val="28"/>
          <w:szCs w:val="28"/>
          <w:highlight w:val="none"/>
        </w:rPr>
        <w:t>小时紧急热线服务。</w:t>
      </w:r>
      <w:r>
        <w:rPr>
          <w:rFonts w:ascii="Calibri" w:eastAsia="Calibri"/>
          <w:color w:val="auto"/>
          <w:sz w:val="28"/>
          <w:szCs w:val="28"/>
          <w:highlight w:val="none"/>
        </w:rPr>
        <w:br w:type="textWrapping"/>
      </w:r>
      <w:r>
        <w:rPr>
          <w:rFonts w:ascii="Calibri" w:hAnsi="Calibri"/>
          <w:b/>
          <w:color w:val="auto"/>
          <w:sz w:val="28"/>
          <w:szCs w:val="28"/>
          <w:highlight w:val="none"/>
        </w:rPr>
        <w:t>6</w:t>
      </w:r>
      <w:r>
        <w:rPr>
          <w:rFonts w:hint="eastAsia" w:ascii="Calibri" w:hAnsi="Calibri"/>
          <w:b/>
          <w:color w:val="auto"/>
          <w:sz w:val="28"/>
          <w:szCs w:val="28"/>
          <w:highlight w:val="none"/>
        </w:rPr>
        <w:t>．</w:t>
      </w:r>
      <w:r>
        <w:rPr>
          <w:rFonts w:ascii="Calibri" w:hAnsi="Calibri"/>
          <w:b/>
          <w:color w:val="auto"/>
          <w:sz w:val="28"/>
          <w:szCs w:val="28"/>
          <w:highlight w:val="none"/>
        </w:rPr>
        <w:t>6</w:t>
      </w:r>
      <w:r>
        <w:rPr>
          <w:rFonts w:hint="eastAsia" w:ascii="Calibri" w:hAnsi="Calibri"/>
          <w:b/>
          <w:color w:val="auto"/>
          <w:sz w:val="28"/>
          <w:szCs w:val="28"/>
          <w:highlight w:val="none"/>
        </w:rPr>
        <w:t>　燃气安全用气宣传</w:t>
      </w:r>
      <w:r>
        <w:rPr>
          <w:rFonts w:ascii="Calibri" w:eastAsia="Calibri"/>
          <w:color w:val="auto"/>
          <w:sz w:val="28"/>
          <w:szCs w:val="28"/>
          <w:highlight w:val="none"/>
        </w:rPr>
        <w:br w:type="textWrapping"/>
      </w:r>
      <w:r>
        <w:rPr>
          <w:rFonts w:hint="eastAsia" w:ascii="Calibri" w:hAnsi="Calibri"/>
          <w:color w:val="auto"/>
          <w:sz w:val="28"/>
          <w:szCs w:val="28"/>
          <w:highlight w:val="none"/>
        </w:rPr>
        <w:t>　　乙方应根据《城镇燃气设施运行、维护和抢修安全技术规程》的标准，向管道燃气用户提供各种形式安全检查、宣传的服务，解答用户的燃气安全咨询，提高公众对管道燃气设施的保护意识。</w:t>
      </w:r>
      <w:r>
        <w:rPr>
          <w:rFonts w:ascii="Calibri" w:eastAsia="Calibri"/>
          <w:color w:val="auto"/>
          <w:sz w:val="28"/>
          <w:szCs w:val="28"/>
          <w:highlight w:val="none"/>
        </w:rPr>
        <w:br w:type="textWrapping"/>
      </w:r>
      <w:r>
        <w:rPr>
          <w:rFonts w:ascii="Calibri" w:hAnsi="Calibri"/>
          <w:b/>
          <w:color w:val="auto"/>
          <w:sz w:val="28"/>
          <w:szCs w:val="28"/>
          <w:highlight w:val="none"/>
        </w:rPr>
        <w:t>6</w:t>
      </w:r>
      <w:r>
        <w:rPr>
          <w:rFonts w:hint="eastAsia" w:ascii="Calibri" w:hAnsi="Calibri"/>
          <w:b/>
          <w:color w:val="auto"/>
          <w:sz w:val="28"/>
          <w:szCs w:val="28"/>
          <w:highlight w:val="none"/>
        </w:rPr>
        <w:t>．</w:t>
      </w:r>
      <w:r>
        <w:rPr>
          <w:rFonts w:ascii="Calibri" w:hAnsi="Calibri"/>
          <w:b/>
          <w:color w:val="auto"/>
          <w:sz w:val="28"/>
          <w:szCs w:val="28"/>
          <w:highlight w:val="none"/>
        </w:rPr>
        <w:t>7</w:t>
      </w:r>
      <w:r>
        <w:rPr>
          <w:rFonts w:hint="eastAsia" w:ascii="Calibri" w:hAnsi="Calibri"/>
          <w:b/>
          <w:color w:val="auto"/>
          <w:sz w:val="28"/>
          <w:szCs w:val="28"/>
          <w:highlight w:val="none"/>
        </w:rPr>
        <w:t>　影响用户用气工程的报告</w:t>
      </w:r>
    </w:p>
    <w:p>
      <w:pPr>
        <w:spacing w:line="360" w:lineRule="auto"/>
        <w:ind w:firstLine="560" w:firstLineChars="200"/>
        <w:rPr>
          <w:rFonts w:hint="eastAsia" w:ascii="Calibri" w:hAnsi="Calibri"/>
          <w:b/>
          <w:color w:val="auto"/>
          <w:sz w:val="28"/>
          <w:szCs w:val="28"/>
          <w:highlight w:val="none"/>
        </w:rPr>
      </w:pPr>
      <w:r>
        <w:rPr>
          <w:rFonts w:hint="eastAsia" w:ascii="Calibri" w:hAnsi="Calibri"/>
          <w:color w:val="auto"/>
          <w:sz w:val="28"/>
          <w:szCs w:val="28"/>
          <w:highlight w:val="none"/>
        </w:rPr>
        <w:t>乙方在进行管道燃气设施维护或改造工程时，如果是影响用户用气的工程，应当在开展工程作业前48小时告知用户，并通过新闻媒体向用户和社会公众预告工程简况、施工历时、可能受影响的程度及区域等相关情况。</w:t>
      </w:r>
      <w:r>
        <w:rPr>
          <w:rFonts w:ascii="Calibri" w:eastAsia="Calibri"/>
          <w:color w:val="auto"/>
          <w:sz w:val="28"/>
          <w:szCs w:val="28"/>
          <w:highlight w:val="none"/>
        </w:rPr>
        <w:br w:type="textWrapping"/>
      </w:r>
      <w:r>
        <w:rPr>
          <w:rFonts w:ascii="Calibri" w:hAnsi="Calibri"/>
          <w:b/>
          <w:color w:val="auto"/>
          <w:sz w:val="28"/>
          <w:szCs w:val="28"/>
          <w:highlight w:val="none"/>
        </w:rPr>
        <w:t>6</w:t>
      </w:r>
      <w:r>
        <w:rPr>
          <w:rFonts w:hint="eastAsia" w:ascii="Calibri" w:hAnsi="Calibri"/>
          <w:b/>
          <w:color w:val="auto"/>
          <w:sz w:val="28"/>
          <w:szCs w:val="28"/>
          <w:highlight w:val="none"/>
        </w:rPr>
        <w:t>．</w:t>
      </w:r>
      <w:r>
        <w:rPr>
          <w:rFonts w:ascii="Calibri" w:hAnsi="Calibri"/>
          <w:b/>
          <w:color w:val="auto"/>
          <w:sz w:val="28"/>
          <w:szCs w:val="28"/>
          <w:highlight w:val="none"/>
        </w:rPr>
        <w:t>8</w:t>
      </w:r>
      <w:r>
        <w:rPr>
          <w:rFonts w:hint="eastAsia" w:ascii="Calibri" w:hAnsi="Calibri"/>
          <w:b/>
          <w:color w:val="auto"/>
          <w:sz w:val="28"/>
          <w:szCs w:val="28"/>
          <w:highlight w:val="none"/>
        </w:rPr>
        <w:t>　紧急事件的通知</w:t>
      </w:r>
      <w:r>
        <w:rPr>
          <w:rFonts w:ascii="Calibri" w:eastAsia="Calibri"/>
          <w:color w:val="auto"/>
          <w:sz w:val="28"/>
          <w:szCs w:val="28"/>
          <w:highlight w:val="none"/>
        </w:rPr>
        <w:br w:type="textWrapping"/>
      </w:r>
      <w:r>
        <w:rPr>
          <w:rFonts w:hint="eastAsia" w:ascii="Calibri" w:hAnsi="Calibri"/>
          <w:color w:val="auto"/>
          <w:sz w:val="28"/>
          <w:szCs w:val="28"/>
          <w:highlight w:val="none"/>
        </w:rPr>
        <w:t>　乙方处理燃气紧急事件影响或可能影响范围较大的用户正常使用燃气时，乙方应在处理的同时报告甲方，并应以适当的方式告知受到或可能受到影响的用户。</w:t>
      </w:r>
      <w:r>
        <w:rPr>
          <w:rFonts w:ascii="Calibri" w:eastAsia="Calibri"/>
          <w:color w:val="auto"/>
          <w:sz w:val="28"/>
          <w:szCs w:val="28"/>
          <w:highlight w:val="none"/>
        </w:rPr>
        <w:br w:type="textWrapping"/>
      </w:r>
      <w:r>
        <w:rPr>
          <w:rFonts w:hint="eastAsia" w:ascii="Calibri" w:hAnsi="Calibri"/>
          <w:b/>
          <w:color w:val="auto"/>
          <w:sz w:val="28"/>
          <w:szCs w:val="28"/>
          <w:highlight w:val="none"/>
        </w:rPr>
        <w:t>第七章　供气质量和服务标准</w:t>
      </w:r>
    </w:p>
    <w:p>
      <w:pPr>
        <w:spacing w:line="360" w:lineRule="auto"/>
        <w:rPr>
          <w:rFonts w:ascii="Calibri" w:hAnsi="Calibri"/>
          <w:b/>
          <w:color w:val="auto"/>
          <w:sz w:val="28"/>
          <w:szCs w:val="28"/>
          <w:highlight w:val="none"/>
        </w:rPr>
      </w:pPr>
      <w:r>
        <w:rPr>
          <w:rFonts w:ascii="Calibri" w:hAnsi="Calibri"/>
          <w:b/>
          <w:color w:val="auto"/>
          <w:sz w:val="28"/>
          <w:szCs w:val="28"/>
          <w:highlight w:val="none"/>
        </w:rPr>
        <w:t>7</w:t>
      </w:r>
      <w:r>
        <w:rPr>
          <w:rFonts w:hint="eastAsia" w:ascii="Calibri" w:hAnsi="Calibri"/>
          <w:b/>
          <w:color w:val="auto"/>
          <w:sz w:val="28"/>
          <w:szCs w:val="28"/>
          <w:highlight w:val="none"/>
        </w:rPr>
        <w:t>．</w:t>
      </w:r>
      <w:r>
        <w:rPr>
          <w:rFonts w:ascii="Calibri" w:hAnsi="Calibri"/>
          <w:b/>
          <w:color w:val="auto"/>
          <w:sz w:val="28"/>
          <w:szCs w:val="28"/>
          <w:highlight w:val="none"/>
        </w:rPr>
        <w:t>1</w:t>
      </w:r>
      <w:r>
        <w:rPr>
          <w:rFonts w:hint="eastAsia" w:ascii="Calibri" w:hAnsi="Calibri"/>
          <w:b/>
          <w:color w:val="auto"/>
          <w:sz w:val="28"/>
          <w:szCs w:val="28"/>
          <w:highlight w:val="none"/>
        </w:rPr>
        <w:t>　供气质量</w:t>
      </w:r>
    </w:p>
    <w:p>
      <w:pPr>
        <w:spacing w:line="360" w:lineRule="auto"/>
        <w:ind w:firstLine="560" w:firstLineChars="200"/>
        <w:rPr>
          <w:rFonts w:ascii="Calibri" w:hAnsi="Calibri"/>
          <w:b/>
          <w:color w:val="auto"/>
          <w:sz w:val="28"/>
          <w:szCs w:val="28"/>
          <w:highlight w:val="none"/>
        </w:rPr>
      </w:pPr>
      <w:r>
        <w:rPr>
          <w:rFonts w:hint="eastAsia" w:ascii="Calibri" w:hAnsi="Calibri"/>
          <w:color w:val="auto"/>
          <w:sz w:val="28"/>
          <w:szCs w:val="28"/>
          <w:highlight w:val="none"/>
        </w:rPr>
        <w:t>乙方应当建立质量保证体系，确保其向用户所供应的燃气质量、管输和灶前压力、燃烧热值、华白指数、燃气加臭等方面符合国家相关文件规定的质量要求。</w:t>
      </w:r>
      <w:r>
        <w:rPr>
          <w:rFonts w:ascii="Calibri" w:eastAsia="Calibri"/>
          <w:color w:val="auto"/>
          <w:sz w:val="28"/>
          <w:szCs w:val="28"/>
          <w:highlight w:val="none"/>
        </w:rPr>
        <w:br w:type="textWrapping"/>
      </w:r>
      <w:r>
        <w:rPr>
          <w:rFonts w:ascii="Calibri" w:hAnsi="Calibri"/>
          <w:b/>
          <w:color w:val="auto"/>
          <w:sz w:val="28"/>
          <w:szCs w:val="28"/>
          <w:highlight w:val="none"/>
        </w:rPr>
        <w:t>7</w:t>
      </w:r>
      <w:r>
        <w:rPr>
          <w:rFonts w:hint="eastAsia" w:ascii="Calibri" w:hAnsi="Calibri"/>
          <w:b/>
          <w:color w:val="auto"/>
          <w:sz w:val="28"/>
          <w:szCs w:val="28"/>
          <w:highlight w:val="none"/>
        </w:rPr>
        <w:t>．</w:t>
      </w:r>
      <w:r>
        <w:rPr>
          <w:rFonts w:ascii="Calibri" w:hAnsi="Calibri"/>
          <w:b/>
          <w:color w:val="auto"/>
          <w:sz w:val="28"/>
          <w:szCs w:val="28"/>
          <w:highlight w:val="none"/>
        </w:rPr>
        <w:t>2</w:t>
      </w:r>
      <w:r>
        <w:rPr>
          <w:rFonts w:hint="eastAsia" w:ascii="Calibri" w:hAnsi="Calibri"/>
          <w:b/>
          <w:color w:val="auto"/>
          <w:sz w:val="28"/>
          <w:szCs w:val="28"/>
          <w:highlight w:val="none"/>
        </w:rPr>
        <w:t>　服务标准</w:t>
      </w:r>
    </w:p>
    <w:p>
      <w:pPr>
        <w:spacing w:line="360" w:lineRule="auto"/>
        <w:ind w:firstLine="560" w:firstLineChars="200"/>
        <w:rPr>
          <w:rFonts w:ascii="Calibri" w:hAnsi="Calibri"/>
          <w:color w:val="auto"/>
          <w:sz w:val="28"/>
          <w:szCs w:val="28"/>
          <w:highlight w:val="none"/>
        </w:rPr>
      </w:pPr>
      <w:r>
        <w:rPr>
          <w:rFonts w:hint="eastAsia" w:ascii="Calibri" w:hAnsi="Calibri"/>
          <w:color w:val="auto"/>
          <w:sz w:val="28"/>
          <w:szCs w:val="28"/>
          <w:highlight w:val="none"/>
        </w:rPr>
        <w:t>乙方应当根据用户的实际需要向用户提供业务热线、用户维修服务网点、营业接待、定期抄表、设施安装检修等综合服务，努力提高服务水平。</w:t>
      </w:r>
      <w:r>
        <w:rPr>
          <w:rFonts w:ascii="Calibri" w:eastAsia="Calibri"/>
          <w:color w:val="auto"/>
          <w:sz w:val="28"/>
          <w:szCs w:val="28"/>
          <w:highlight w:val="none"/>
        </w:rPr>
        <w:br w:type="textWrapping"/>
      </w:r>
      <w:r>
        <w:rPr>
          <w:rFonts w:hint="eastAsia" w:ascii="Calibri" w:hAnsi="Calibri"/>
          <w:b/>
          <w:color w:val="auto"/>
          <w:sz w:val="28"/>
          <w:szCs w:val="28"/>
          <w:highlight w:val="none"/>
        </w:rPr>
        <w:t>第八章　收费</w:t>
      </w:r>
      <w:r>
        <w:rPr>
          <w:rFonts w:ascii="Calibri" w:eastAsia="Calibri"/>
          <w:color w:val="auto"/>
          <w:sz w:val="28"/>
          <w:szCs w:val="28"/>
          <w:highlight w:val="none"/>
        </w:rPr>
        <w:br w:type="textWrapping"/>
      </w:r>
      <w:r>
        <w:rPr>
          <w:rFonts w:ascii="Calibri" w:hAnsi="Calibri"/>
          <w:b/>
          <w:color w:val="auto"/>
          <w:sz w:val="28"/>
          <w:szCs w:val="28"/>
          <w:highlight w:val="none"/>
        </w:rPr>
        <w:t>8</w:t>
      </w:r>
      <w:r>
        <w:rPr>
          <w:rFonts w:hint="eastAsia" w:ascii="Calibri" w:hAnsi="Calibri"/>
          <w:b/>
          <w:color w:val="auto"/>
          <w:sz w:val="28"/>
          <w:szCs w:val="28"/>
          <w:highlight w:val="none"/>
        </w:rPr>
        <w:t>．</w:t>
      </w:r>
      <w:r>
        <w:rPr>
          <w:rFonts w:ascii="Calibri" w:hAnsi="Calibri"/>
          <w:b/>
          <w:color w:val="auto"/>
          <w:sz w:val="28"/>
          <w:szCs w:val="28"/>
          <w:highlight w:val="none"/>
        </w:rPr>
        <w:t>1</w:t>
      </w:r>
      <w:r>
        <w:rPr>
          <w:rFonts w:hint="eastAsia" w:ascii="Calibri" w:hAnsi="Calibri"/>
          <w:b/>
          <w:color w:val="auto"/>
          <w:sz w:val="28"/>
          <w:szCs w:val="28"/>
          <w:highlight w:val="none"/>
        </w:rPr>
        <w:t>　批准的价格</w:t>
      </w:r>
      <w:r>
        <w:rPr>
          <w:rFonts w:ascii="Calibri" w:eastAsia="Calibri"/>
          <w:color w:val="auto"/>
          <w:sz w:val="28"/>
          <w:szCs w:val="28"/>
          <w:highlight w:val="none"/>
        </w:rPr>
        <w:br w:type="textWrapping"/>
      </w:r>
      <w:r>
        <w:rPr>
          <w:rFonts w:hint="eastAsia" w:ascii="Calibri" w:hAnsi="Calibri"/>
          <w:color w:val="auto"/>
          <w:sz w:val="28"/>
          <w:szCs w:val="28"/>
          <w:highlight w:val="none"/>
        </w:rPr>
        <w:t>　　乙方管道燃气销售价格执行当地政府物价主管部门批准的销售价格向其服务范围内的用户收取费用。</w:t>
      </w:r>
    </w:p>
    <w:p>
      <w:pPr>
        <w:spacing w:line="360" w:lineRule="auto"/>
        <w:ind w:firstLine="560" w:firstLineChars="200"/>
        <w:rPr>
          <w:rFonts w:ascii="Calibri" w:hAnsi="Calibri"/>
          <w:b/>
          <w:color w:val="auto"/>
          <w:sz w:val="28"/>
          <w:szCs w:val="28"/>
          <w:highlight w:val="none"/>
        </w:rPr>
      </w:pPr>
      <w:r>
        <w:rPr>
          <w:rFonts w:hint="eastAsia" w:ascii="Calibri" w:hAnsi="Calibri"/>
          <w:color w:val="auto"/>
          <w:sz w:val="28"/>
          <w:szCs w:val="28"/>
          <w:highlight w:val="none"/>
        </w:rPr>
        <w:t>乙方其他有偿服务价格标准须经当地政府物价主管部门另行批准。</w:t>
      </w:r>
      <w:r>
        <w:rPr>
          <w:rFonts w:ascii="Calibri" w:eastAsia="Calibri"/>
          <w:color w:val="auto"/>
          <w:sz w:val="28"/>
          <w:szCs w:val="28"/>
          <w:highlight w:val="none"/>
        </w:rPr>
        <w:br w:type="textWrapping"/>
      </w:r>
      <w:r>
        <w:rPr>
          <w:rFonts w:ascii="Calibri" w:hAnsi="Calibri"/>
          <w:b/>
          <w:color w:val="auto"/>
          <w:sz w:val="28"/>
          <w:szCs w:val="28"/>
          <w:highlight w:val="none"/>
        </w:rPr>
        <w:t>8</w:t>
      </w:r>
      <w:r>
        <w:rPr>
          <w:rFonts w:hint="eastAsia" w:ascii="Calibri" w:hAnsi="Calibri"/>
          <w:b/>
          <w:color w:val="auto"/>
          <w:sz w:val="28"/>
          <w:szCs w:val="28"/>
          <w:highlight w:val="none"/>
        </w:rPr>
        <w:t>．</w:t>
      </w:r>
      <w:r>
        <w:rPr>
          <w:rFonts w:ascii="Calibri" w:hAnsi="Calibri"/>
          <w:b/>
          <w:color w:val="auto"/>
          <w:sz w:val="28"/>
          <w:szCs w:val="28"/>
          <w:highlight w:val="none"/>
        </w:rPr>
        <w:t>2</w:t>
      </w:r>
      <w:r>
        <w:rPr>
          <w:rFonts w:hint="eastAsia" w:ascii="Calibri" w:hAnsi="Calibri"/>
          <w:b/>
          <w:color w:val="auto"/>
          <w:sz w:val="28"/>
          <w:szCs w:val="28"/>
          <w:highlight w:val="none"/>
        </w:rPr>
        <w:t>　燃气费计算</w:t>
      </w:r>
    </w:p>
    <w:p>
      <w:pPr>
        <w:spacing w:line="360" w:lineRule="auto"/>
        <w:ind w:firstLine="560" w:firstLineChars="200"/>
        <w:rPr>
          <w:rFonts w:ascii="Calibri" w:hAnsi="Calibri"/>
          <w:color w:val="auto"/>
          <w:sz w:val="28"/>
          <w:szCs w:val="28"/>
          <w:highlight w:val="none"/>
        </w:rPr>
      </w:pPr>
      <w:r>
        <w:rPr>
          <w:rFonts w:hint="eastAsia" w:ascii="Calibri" w:hAnsi="Calibri"/>
          <w:color w:val="auto"/>
          <w:sz w:val="28"/>
          <w:szCs w:val="28"/>
          <w:highlight w:val="none"/>
        </w:rPr>
        <w:t>燃气气费的计算可按每立方米的单价乘以用气量计算，或采用热量单价计算。燃气费结算方式按照适用法律，实行周期抄表并结算燃气费。</w:t>
      </w:r>
      <w:r>
        <w:rPr>
          <w:rFonts w:ascii="宋体" w:hAnsi="Calibri" w:eastAsia="Times New Roman"/>
          <w:color w:val="auto"/>
          <w:sz w:val="28"/>
          <w:szCs w:val="28"/>
          <w:highlight w:val="none"/>
        </w:rPr>
        <w:br w:type="textWrapping"/>
      </w:r>
      <w:r>
        <w:rPr>
          <w:rFonts w:ascii="Calibri" w:hAnsi="Calibri"/>
          <w:b/>
          <w:color w:val="auto"/>
          <w:sz w:val="28"/>
          <w:szCs w:val="28"/>
          <w:highlight w:val="none"/>
        </w:rPr>
        <w:t>8</w:t>
      </w:r>
      <w:r>
        <w:rPr>
          <w:rFonts w:hint="eastAsia" w:ascii="Calibri" w:hAnsi="Calibri"/>
          <w:b/>
          <w:color w:val="auto"/>
          <w:sz w:val="28"/>
          <w:szCs w:val="28"/>
          <w:highlight w:val="none"/>
        </w:rPr>
        <w:t>．3　价格调整程序</w:t>
      </w:r>
      <w:r>
        <w:rPr>
          <w:rFonts w:ascii="Calibri" w:eastAsia="Calibri"/>
          <w:color w:val="auto"/>
          <w:sz w:val="28"/>
          <w:szCs w:val="28"/>
          <w:highlight w:val="none"/>
        </w:rPr>
        <w:br w:type="textWrapping"/>
      </w:r>
      <w:r>
        <w:rPr>
          <w:rFonts w:hint="eastAsia" w:ascii="Calibri" w:hAnsi="Calibri"/>
          <w:color w:val="auto"/>
          <w:sz w:val="28"/>
          <w:szCs w:val="28"/>
          <w:highlight w:val="none"/>
        </w:rPr>
        <w:t>　　乙方因非乙方原因造成的经营成本发生重大变动时，可提出城市管道燃气收费标准调整申请。甲方核实后应向有关部门提出调整意见。</w:t>
      </w:r>
    </w:p>
    <w:p>
      <w:pPr>
        <w:spacing w:line="360" w:lineRule="auto"/>
        <w:ind w:firstLine="560" w:firstLineChars="200"/>
        <w:rPr>
          <w:rFonts w:hint="eastAsia" w:ascii="Calibri" w:hAnsi="Calibri"/>
          <w:color w:val="auto"/>
          <w:sz w:val="28"/>
          <w:szCs w:val="28"/>
          <w:highlight w:val="none"/>
        </w:rPr>
      </w:pPr>
      <w:r>
        <w:rPr>
          <w:rFonts w:hint="eastAsia" w:ascii="Calibri" w:hAnsi="Calibri"/>
          <w:color w:val="auto"/>
          <w:sz w:val="28"/>
          <w:szCs w:val="28"/>
          <w:highlight w:val="none"/>
        </w:rPr>
        <w:t>甲乙双方</w:t>
      </w:r>
      <w:r>
        <w:rPr>
          <w:rFonts w:hint="eastAsia" w:ascii="宋体" w:hAnsi="宋体"/>
          <w:color w:val="auto"/>
          <w:sz w:val="28"/>
          <w:szCs w:val="28"/>
          <w:highlight w:val="none"/>
        </w:rPr>
        <w:t>同意建立燃气销售价格与上游供应价格实行联动机制，在特许经营期间，如遇上游燃气供应价格调整，乙方可自行对非居民用户的燃气售价作相应幅度的调整，并向物价部门报备。居民用户燃气价格的调整需按照国家相关规定履行必要程序后方可执行。</w:t>
      </w:r>
      <w:r>
        <w:rPr>
          <w:rFonts w:ascii="宋体" w:hAnsi="Calibri" w:eastAsia="Times New Roman"/>
          <w:color w:val="auto"/>
          <w:sz w:val="28"/>
          <w:szCs w:val="28"/>
          <w:highlight w:val="none"/>
        </w:rPr>
        <w:br w:type="textWrapping"/>
      </w:r>
      <w:r>
        <w:rPr>
          <w:rFonts w:ascii="Calibri" w:hAnsi="Calibri"/>
          <w:b/>
          <w:color w:val="auto"/>
          <w:sz w:val="28"/>
          <w:szCs w:val="28"/>
          <w:highlight w:val="none"/>
        </w:rPr>
        <w:t>8</w:t>
      </w:r>
      <w:r>
        <w:rPr>
          <w:rFonts w:hint="eastAsia" w:ascii="Calibri" w:hAnsi="Calibri"/>
          <w:b/>
          <w:color w:val="auto"/>
          <w:sz w:val="28"/>
          <w:szCs w:val="28"/>
          <w:highlight w:val="none"/>
        </w:rPr>
        <w:t>．</w:t>
      </w:r>
      <w:r>
        <w:rPr>
          <w:rFonts w:ascii="Calibri" w:hAnsi="Calibri"/>
          <w:b/>
          <w:color w:val="auto"/>
          <w:sz w:val="28"/>
          <w:szCs w:val="28"/>
          <w:highlight w:val="none"/>
        </w:rPr>
        <w:t>4</w:t>
      </w:r>
      <w:r>
        <w:rPr>
          <w:rFonts w:hint="eastAsia" w:ascii="Calibri" w:hAnsi="Calibri"/>
          <w:b/>
          <w:color w:val="auto"/>
          <w:sz w:val="28"/>
          <w:szCs w:val="28"/>
          <w:highlight w:val="none"/>
        </w:rPr>
        <w:t>　成本监管</w:t>
      </w:r>
      <w:r>
        <w:rPr>
          <w:rFonts w:ascii="Calibri" w:eastAsia="Calibri"/>
          <w:color w:val="auto"/>
          <w:sz w:val="28"/>
          <w:szCs w:val="28"/>
          <w:highlight w:val="none"/>
        </w:rPr>
        <w:br w:type="textWrapping"/>
      </w:r>
      <w:r>
        <w:rPr>
          <w:rFonts w:hint="eastAsia" w:ascii="Calibri" w:hAnsi="Calibri"/>
          <w:color w:val="auto"/>
          <w:sz w:val="28"/>
          <w:szCs w:val="28"/>
          <w:highlight w:val="none"/>
        </w:rPr>
        <w:t>甲方有权对管道燃气企业经营成本进行监管，并对企业的经营状况进行评估。</w:t>
      </w:r>
    </w:p>
    <w:p>
      <w:pPr>
        <w:spacing w:line="360" w:lineRule="auto"/>
        <w:rPr>
          <w:rFonts w:ascii="Calibri" w:eastAsia="Calibri"/>
          <w:b/>
          <w:color w:val="auto"/>
          <w:sz w:val="28"/>
          <w:szCs w:val="28"/>
          <w:highlight w:val="none"/>
        </w:rPr>
      </w:pPr>
      <w:r>
        <w:rPr>
          <w:rFonts w:ascii="Calibri" w:hAnsi="Calibri"/>
          <w:b/>
          <w:color w:val="auto"/>
          <w:sz w:val="28"/>
          <w:szCs w:val="28"/>
          <w:highlight w:val="none"/>
        </w:rPr>
        <w:t>8</w:t>
      </w:r>
      <w:r>
        <w:rPr>
          <w:rFonts w:hint="eastAsia" w:ascii="Calibri" w:hAnsi="Calibri"/>
          <w:b/>
          <w:color w:val="auto"/>
          <w:sz w:val="28"/>
          <w:szCs w:val="28"/>
          <w:highlight w:val="none"/>
        </w:rPr>
        <w:t>．</w:t>
      </w:r>
      <w:r>
        <w:rPr>
          <w:rFonts w:ascii="Calibri" w:hAnsi="Calibri"/>
          <w:b/>
          <w:color w:val="auto"/>
          <w:sz w:val="28"/>
          <w:szCs w:val="28"/>
          <w:highlight w:val="none"/>
        </w:rPr>
        <w:t>5</w:t>
      </w:r>
      <w:r>
        <w:rPr>
          <w:rFonts w:hint="eastAsia" w:ascii="Calibri" w:hAnsi="Calibri"/>
          <w:b/>
          <w:color w:val="auto"/>
          <w:sz w:val="28"/>
          <w:szCs w:val="28"/>
          <w:highlight w:val="none"/>
        </w:rPr>
        <w:t>收费优惠</w:t>
      </w:r>
    </w:p>
    <w:p>
      <w:pPr>
        <w:autoSpaceDE w:val="0"/>
        <w:autoSpaceDN w:val="0"/>
        <w:spacing w:line="360" w:lineRule="auto"/>
        <w:ind w:firstLine="480"/>
        <w:rPr>
          <w:rFonts w:ascii="宋体" w:hAnsi="宋体"/>
          <w:color w:val="auto"/>
          <w:sz w:val="28"/>
          <w:szCs w:val="28"/>
          <w:highlight w:val="none"/>
        </w:rPr>
      </w:pPr>
      <w:r>
        <w:rPr>
          <w:rFonts w:hint="eastAsia" w:asciiTheme="minorEastAsia" w:hAnsiTheme="minorEastAsia"/>
          <w:color w:val="auto"/>
          <w:sz w:val="28"/>
          <w:szCs w:val="28"/>
          <w:highlight w:val="none"/>
        </w:rPr>
        <w:t>甲方积极支持乙方燃气管网建设，同意免征乙方管网建设及抢修抢险施工道路占用费和道路开挖费（破路费）、绿化费。乙方施工时应按照有关规定办理相关手续，自行修复因建设管道及相关设施而损坏的包括道路等设施，相关政府部门按照规定的标准和要求进行验</w:t>
      </w:r>
      <w:r>
        <w:rPr>
          <w:rFonts w:hint="eastAsia" w:asciiTheme="minorEastAsia" w:hAnsiTheme="minorEastAsia"/>
          <w:color w:val="auto"/>
          <w:sz w:val="28"/>
          <w:szCs w:val="28"/>
          <w:highlight w:val="none"/>
          <w:lang w:eastAsia="zh-CN"/>
        </w:rPr>
        <w:t>收。</w:t>
      </w:r>
    </w:p>
    <w:p>
      <w:pPr>
        <w:spacing w:before="156" w:beforeLines="50" w:line="360" w:lineRule="auto"/>
        <w:jc w:val="left"/>
        <w:rPr>
          <w:rFonts w:ascii="Calibri" w:hAnsi="Calibri"/>
          <w:color w:val="auto"/>
          <w:sz w:val="28"/>
          <w:szCs w:val="28"/>
          <w:highlight w:val="none"/>
        </w:rPr>
      </w:pPr>
      <w:r>
        <w:rPr>
          <w:rFonts w:hint="eastAsia" w:ascii="宋体" w:hAnsi="宋体"/>
          <w:b/>
          <w:bCs/>
          <w:color w:val="auto"/>
          <w:sz w:val="28"/>
          <w:szCs w:val="28"/>
          <w:highlight w:val="none"/>
        </w:rPr>
        <w:t>第九章</w:t>
      </w:r>
      <w:r>
        <w:rPr>
          <w:rFonts w:hint="eastAsia" w:ascii="宋体" w:hAnsi="宋体"/>
          <w:b/>
          <w:bCs/>
          <w:color w:val="auto"/>
          <w:sz w:val="28"/>
          <w:szCs w:val="28"/>
          <w:highlight w:val="none"/>
          <w:lang w:val="en-US" w:eastAsia="zh-CN"/>
        </w:rPr>
        <w:t xml:space="preserve"> </w:t>
      </w:r>
      <w:r>
        <w:rPr>
          <w:rFonts w:hint="eastAsia" w:ascii="Calibri" w:hAnsi="Calibri"/>
          <w:b/>
          <w:color w:val="auto"/>
          <w:sz w:val="28"/>
          <w:szCs w:val="28"/>
          <w:highlight w:val="none"/>
        </w:rPr>
        <w:t>权利和义务</w:t>
      </w:r>
      <w:r>
        <w:rPr>
          <w:rFonts w:ascii="Calibri" w:eastAsia="Calibri"/>
          <w:b/>
          <w:color w:val="auto"/>
          <w:sz w:val="28"/>
          <w:szCs w:val="28"/>
          <w:highlight w:val="none"/>
        </w:rPr>
        <w:br w:type="textWrapping"/>
      </w:r>
      <w:r>
        <w:rPr>
          <w:rFonts w:ascii="Calibri" w:hAnsi="Calibri"/>
          <w:b/>
          <w:color w:val="auto"/>
          <w:sz w:val="28"/>
          <w:szCs w:val="28"/>
          <w:highlight w:val="none"/>
        </w:rPr>
        <w:t>9</w:t>
      </w:r>
      <w:r>
        <w:rPr>
          <w:rFonts w:hint="eastAsia" w:ascii="Calibri" w:hAnsi="Calibri"/>
          <w:b/>
          <w:color w:val="auto"/>
          <w:sz w:val="28"/>
          <w:szCs w:val="28"/>
          <w:highlight w:val="none"/>
        </w:rPr>
        <w:t>．</w:t>
      </w:r>
      <w:r>
        <w:rPr>
          <w:rFonts w:ascii="Calibri" w:hAnsi="Calibri"/>
          <w:b/>
          <w:color w:val="auto"/>
          <w:sz w:val="28"/>
          <w:szCs w:val="28"/>
          <w:highlight w:val="none"/>
        </w:rPr>
        <w:t>1</w:t>
      </w:r>
      <w:r>
        <w:rPr>
          <w:rFonts w:hint="eastAsia" w:ascii="Calibri" w:hAnsi="Calibri"/>
          <w:b/>
          <w:color w:val="auto"/>
          <w:sz w:val="28"/>
          <w:szCs w:val="28"/>
          <w:highlight w:val="none"/>
        </w:rPr>
        <w:t>　甲方权利</w:t>
      </w:r>
      <w:r>
        <w:rPr>
          <w:rFonts w:ascii="Calibri" w:eastAsia="Calibri"/>
          <w:color w:val="auto"/>
          <w:sz w:val="28"/>
          <w:szCs w:val="28"/>
          <w:highlight w:val="none"/>
        </w:rPr>
        <w:br w:type="textWrapping"/>
      </w:r>
      <w:r>
        <w:rPr>
          <w:rFonts w:hint="eastAsia" w:ascii="Calibri" w:eastAsia="宋体"/>
          <w:color w:val="auto"/>
          <w:sz w:val="28"/>
          <w:szCs w:val="28"/>
          <w:highlight w:val="none"/>
          <w:lang w:val="en-US" w:eastAsia="zh-CN"/>
        </w:rPr>
        <w:t xml:space="preserve">   </w:t>
      </w:r>
      <w:r>
        <w:rPr>
          <w:rFonts w:hint="eastAsia" w:ascii="Calibri" w:hAnsi="Calibri"/>
          <w:color w:val="auto"/>
          <w:sz w:val="28"/>
          <w:szCs w:val="28"/>
          <w:highlight w:val="none"/>
        </w:rPr>
        <w:t>（</w:t>
      </w:r>
      <w:r>
        <w:rPr>
          <w:rFonts w:ascii="Calibri" w:hAnsi="Calibri"/>
          <w:color w:val="auto"/>
          <w:sz w:val="28"/>
          <w:szCs w:val="28"/>
          <w:highlight w:val="none"/>
        </w:rPr>
        <w:t>1</w:t>
      </w:r>
      <w:r>
        <w:rPr>
          <w:rFonts w:hint="eastAsia" w:ascii="Calibri" w:hAnsi="Calibri"/>
          <w:color w:val="auto"/>
          <w:sz w:val="28"/>
          <w:szCs w:val="28"/>
          <w:highlight w:val="none"/>
        </w:rPr>
        <w:t>）甲方依照国家相关法律、法规及有关技术标准对乙方的特许经营业务进行监管；</w:t>
      </w:r>
      <w:r>
        <w:rPr>
          <w:rFonts w:ascii="Calibri" w:eastAsia="Calibri"/>
          <w:color w:val="auto"/>
          <w:sz w:val="28"/>
          <w:szCs w:val="28"/>
          <w:highlight w:val="none"/>
        </w:rPr>
        <w:br w:type="textWrapping"/>
      </w:r>
      <w:r>
        <w:rPr>
          <w:rFonts w:hint="eastAsia" w:ascii="Calibri" w:eastAsia="宋体"/>
          <w:color w:val="auto"/>
          <w:sz w:val="28"/>
          <w:szCs w:val="28"/>
          <w:highlight w:val="none"/>
          <w:lang w:val="en-US" w:eastAsia="zh-CN"/>
        </w:rPr>
        <w:t xml:space="preserve">   </w:t>
      </w:r>
      <w:r>
        <w:rPr>
          <w:rFonts w:hint="eastAsia" w:ascii="Calibri" w:hAnsi="Calibri"/>
          <w:color w:val="auto"/>
          <w:sz w:val="28"/>
          <w:szCs w:val="28"/>
          <w:highlight w:val="none"/>
        </w:rPr>
        <w:t>（</w:t>
      </w:r>
      <w:r>
        <w:rPr>
          <w:rFonts w:ascii="Calibri" w:hAnsi="Calibri"/>
          <w:color w:val="auto"/>
          <w:sz w:val="28"/>
          <w:szCs w:val="28"/>
          <w:highlight w:val="none"/>
        </w:rPr>
        <w:t>2</w:t>
      </w:r>
      <w:r>
        <w:rPr>
          <w:rFonts w:hint="eastAsia" w:ascii="Calibri" w:hAnsi="Calibri"/>
          <w:color w:val="auto"/>
          <w:sz w:val="28"/>
          <w:szCs w:val="28"/>
          <w:highlight w:val="none"/>
        </w:rPr>
        <w:t>）监督乙方实施特许经营协议内容，并可聘请中介机构对乙方的资产和经营状况进行评估，根据评估结果向乙方提出建议；</w:t>
      </w:r>
      <w:r>
        <w:rPr>
          <w:rFonts w:ascii="Calibri" w:eastAsia="Calibri"/>
          <w:color w:val="auto"/>
          <w:sz w:val="28"/>
          <w:szCs w:val="28"/>
          <w:highlight w:val="none"/>
        </w:rPr>
        <w:br w:type="textWrapping"/>
      </w:r>
      <w:r>
        <w:rPr>
          <w:rFonts w:hint="eastAsia" w:ascii="Calibri" w:eastAsia="宋体"/>
          <w:color w:val="auto"/>
          <w:sz w:val="28"/>
          <w:szCs w:val="28"/>
          <w:highlight w:val="none"/>
          <w:lang w:val="en-US" w:eastAsia="zh-CN"/>
        </w:rPr>
        <w:t xml:space="preserve">   </w:t>
      </w:r>
      <w:r>
        <w:rPr>
          <w:rFonts w:hint="eastAsia" w:ascii="Calibri" w:hAnsi="Calibri"/>
          <w:color w:val="auto"/>
          <w:sz w:val="28"/>
          <w:szCs w:val="28"/>
          <w:highlight w:val="none"/>
        </w:rPr>
        <w:t>（</w:t>
      </w:r>
      <w:r>
        <w:rPr>
          <w:rFonts w:ascii="Calibri" w:hAnsi="Calibri"/>
          <w:color w:val="auto"/>
          <w:sz w:val="28"/>
          <w:szCs w:val="28"/>
          <w:highlight w:val="none"/>
        </w:rPr>
        <w:t>3</w:t>
      </w:r>
      <w:r>
        <w:rPr>
          <w:rFonts w:hint="eastAsia" w:ascii="Calibri" w:hAnsi="Calibri"/>
          <w:color w:val="auto"/>
          <w:sz w:val="28"/>
          <w:szCs w:val="28"/>
          <w:highlight w:val="none"/>
        </w:rPr>
        <w:t>）享有审查乙方管道燃气五年规划和年度投资计划是否符合城市总体规划的权利；</w:t>
      </w:r>
      <w:r>
        <w:rPr>
          <w:rFonts w:ascii="Calibri" w:eastAsia="Calibri"/>
          <w:color w:val="auto"/>
          <w:sz w:val="28"/>
          <w:szCs w:val="28"/>
          <w:highlight w:val="none"/>
        </w:rPr>
        <w:br w:type="textWrapping"/>
      </w:r>
      <w:r>
        <w:rPr>
          <w:rFonts w:hint="eastAsia" w:ascii="Calibri" w:eastAsia="宋体"/>
          <w:color w:val="auto"/>
          <w:sz w:val="28"/>
          <w:szCs w:val="28"/>
          <w:highlight w:val="none"/>
          <w:lang w:val="en-US" w:eastAsia="zh-CN"/>
        </w:rPr>
        <w:t xml:space="preserve">   </w:t>
      </w:r>
      <w:r>
        <w:rPr>
          <w:rFonts w:hint="eastAsia" w:ascii="Calibri" w:hAnsi="Calibri"/>
          <w:color w:val="auto"/>
          <w:sz w:val="28"/>
          <w:szCs w:val="28"/>
          <w:highlight w:val="none"/>
        </w:rPr>
        <w:t>（</w:t>
      </w:r>
      <w:r>
        <w:rPr>
          <w:rFonts w:ascii="Calibri" w:hAnsi="Calibri"/>
          <w:color w:val="auto"/>
          <w:sz w:val="28"/>
          <w:szCs w:val="28"/>
          <w:highlight w:val="none"/>
        </w:rPr>
        <w:t>4</w:t>
      </w:r>
      <w:r>
        <w:rPr>
          <w:rFonts w:hint="eastAsia" w:ascii="Calibri" w:hAnsi="Calibri"/>
          <w:color w:val="auto"/>
          <w:sz w:val="28"/>
          <w:szCs w:val="28"/>
          <w:highlight w:val="none"/>
        </w:rPr>
        <w:t>）法律、法规、规章规定的其它监管权利。</w:t>
      </w:r>
      <w:r>
        <w:rPr>
          <w:rFonts w:ascii="Calibri" w:eastAsia="Calibri"/>
          <w:color w:val="auto"/>
          <w:sz w:val="28"/>
          <w:szCs w:val="28"/>
          <w:highlight w:val="none"/>
        </w:rPr>
        <w:br w:type="textWrapping"/>
      </w:r>
      <w:r>
        <w:rPr>
          <w:rFonts w:ascii="Calibri" w:hAnsi="Calibri"/>
          <w:b/>
          <w:color w:val="auto"/>
          <w:sz w:val="28"/>
          <w:szCs w:val="28"/>
          <w:highlight w:val="none"/>
        </w:rPr>
        <w:t>9</w:t>
      </w:r>
      <w:r>
        <w:rPr>
          <w:rFonts w:hint="eastAsia" w:ascii="Calibri" w:hAnsi="Calibri"/>
          <w:b/>
          <w:color w:val="auto"/>
          <w:sz w:val="28"/>
          <w:szCs w:val="28"/>
          <w:highlight w:val="none"/>
        </w:rPr>
        <w:t>．</w:t>
      </w:r>
      <w:r>
        <w:rPr>
          <w:rFonts w:ascii="Calibri" w:hAnsi="Calibri"/>
          <w:b/>
          <w:color w:val="auto"/>
          <w:sz w:val="28"/>
          <w:szCs w:val="28"/>
          <w:highlight w:val="none"/>
        </w:rPr>
        <w:t>2</w:t>
      </w:r>
      <w:r>
        <w:rPr>
          <w:rFonts w:hint="eastAsia" w:ascii="Calibri" w:hAnsi="Calibri"/>
          <w:b/>
          <w:color w:val="auto"/>
          <w:sz w:val="28"/>
          <w:szCs w:val="28"/>
          <w:highlight w:val="none"/>
        </w:rPr>
        <w:t>　甲方义务</w:t>
      </w:r>
      <w:r>
        <w:rPr>
          <w:rFonts w:ascii="Calibri" w:eastAsia="Calibri"/>
          <w:color w:val="auto"/>
          <w:sz w:val="28"/>
          <w:szCs w:val="28"/>
          <w:highlight w:val="none"/>
        </w:rPr>
        <w:br w:type="textWrapping"/>
      </w:r>
      <w:r>
        <w:rPr>
          <w:rFonts w:hint="eastAsia" w:ascii="Calibri" w:eastAsia="宋体"/>
          <w:color w:val="auto"/>
          <w:sz w:val="28"/>
          <w:szCs w:val="28"/>
          <w:highlight w:val="none"/>
          <w:lang w:val="en-US" w:eastAsia="zh-CN"/>
        </w:rPr>
        <w:t xml:space="preserve">   </w:t>
      </w:r>
      <w:r>
        <w:rPr>
          <w:rFonts w:hint="eastAsia" w:ascii="Calibri" w:hAnsi="Calibri"/>
          <w:color w:val="auto"/>
          <w:sz w:val="28"/>
          <w:szCs w:val="28"/>
          <w:highlight w:val="none"/>
        </w:rPr>
        <w:t>（</w:t>
      </w:r>
      <w:r>
        <w:rPr>
          <w:rFonts w:ascii="Calibri" w:hAnsi="Calibri"/>
          <w:color w:val="auto"/>
          <w:sz w:val="28"/>
          <w:szCs w:val="28"/>
          <w:highlight w:val="none"/>
        </w:rPr>
        <w:t>1</w:t>
      </w:r>
      <w:r>
        <w:rPr>
          <w:rFonts w:hint="eastAsia" w:ascii="Calibri" w:hAnsi="Calibri"/>
          <w:color w:val="auto"/>
          <w:sz w:val="28"/>
          <w:szCs w:val="28"/>
          <w:highlight w:val="none"/>
        </w:rPr>
        <w:t>）成立阳山县管道燃气利用工程项目协调领导小组，协助乙方办理项目公司注册、立项、落实项目建设用地及土地手续、以及工程建设和经营过程中所需的批文和相关手续等，以加快推进阳山县天然气利用工程实施进展。</w:t>
      </w:r>
    </w:p>
    <w:p>
      <w:pPr>
        <w:widowControl/>
        <w:spacing w:before="156" w:beforeLines="50" w:line="360" w:lineRule="auto"/>
        <w:jc w:val="left"/>
        <w:rPr>
          <w:rFonts w:ascii="Calibri" w:hAnsi="Calibri"/>
          <w:color w:val="auto"/>
          <w:sz w:val="28"/>
          <w:szCs w:val="28"/>
          <w:highlight w:val="none"/>
        </w:rPr>
      </w:pPr>
      <w:r>
        <w:rPr>
          <w:rFonts w:hint="eastAsia" w:ascii="Calibri" w:hAnsi="Calibri"/>
          <w:color w:val="auto"/>
          <w:sz w:val="28"/>
          <w:szCs w:val="28"/>
          <w:highlight w:val="none"/>
          <w:lang w:val="en-US" w:eastAsia="zh-CN"/>
        </w:rPr>
        <w:t xml:space="preserve">   </w:t>
      </w:r>
      <w:r>
        <w:rPr>
          <w:rFonts w:hint="eastAsia" w:ascii="Calibri" w:hAnsi="Calibri"/>
          <w:color w:val="auto"/>
          <w:sz w:val="28"/>
          <w:szCs w:val="28"/>
          <w:highlight w:val="none"/>
        </w:rPr>
        <w:t>（2）维护特许经营权的完整性。在特许经营期间，甲方不得在已授予乙方特许经营权地域范围内，再将特许经营权授予第三方；</w:t>
      </w:r>
    </w:p>
    <w:p>
      <w:pPr>
        <w:widowControl/>
        <w:spacing w:before="156" w:beforeLines="50" w:line="360" w:lineRule="auto"/>
        <w:jc w:val="left"/>
        <w:rPr>
          <w:rFonts w:ascii="Calibri" w:hAnsi="Calibri"/>
          <w:color w:val="auto"/>
          <w:sz w:val="28"/>
          <w:szCs w:val="28"/>
          <w:highlight w:val="none"/>
        </w:rPr>
      </w:pPr>
      <w:r>
        <w:rPr>
          <w:rFonts w:hint="eastAsia" w:ascii="Calibri" w:hAnsi="Calibri"/>
          <w:color w:val="auto"/>
          <w:sz w:val="28"/>
          <w:szCs w:val="28"/>
          <w:highlight w:val="none"/>
          <w:lang w:val="en-US" w:eastAsia="zh-CN"/>
        </w:rPr>
        <w:t xml:space="preserve">   </w:t>
      </w:r>
      <w:r>
        <w:rPr>
          <w:rFonts w:hint="eastAsia" w:ascii="Calibri" w:hAnsi="Calibri"/>
          <w:color w:val="auto"/>
          <w:sz w:val="28"/>
          <w:szCs w:val="28"/>
          <w:highlight w:val="none"/>
        </w:rPr>
        <w:t>（3）维护特许经营范围内燃气市场秩序。其他任何单位和个人不得以管道形式对特许经营区域内的用户进行直接供气。如有前述侵犯乙方特许经营权的行为，甲方保证全力予以制止；</w:t>
      </w:r>
    </w:p>
    <w:p>
      <w:pPr>
        <w:widowControl/>
        <w:spacing w:before="156" w:beforeLines="50" w:line="360" w:lineRule="auto"/>
        <w:jc w:val="left"/>
        <w:rPr>
          <w:rFonts w:ascii="Calibri" w:hAnsi="Calibri"/>
          <w:color w:val="auto"/>
          <w:sz w:val="28"/>
          <w:szCs w:val="28"/>
          <w:highlight w:val="none"/>
        </w:rPr>
      </w:pPr>
      <w:r>
        <w:rPr>
          <w:rFonts w:hint="eastAsia" w:ascii="Calibri" w:hAnsi="Calibri"/>
          <w:color w:val="auto"/>
          <w:sz w:val="28"/>
          <w:szCs w:val="28"/>
          <w:highlight w:val="none"/>
          <w:lang w:val="en-US" w:eastAsia="zh-CN"/>
        </w:rPr>
        <w:t xml:space="preserve">   </w:t>
      </w:r>
      <w:r>
        <w:rPr>
          <w:rFonts w:hint="eastAsia" w:ascii="Calibri" w:hAnsi="Calibri"/>
          <w:color w:val="auto"/>
          <w:sz w:val="28"/>
          <w:szCs w:val="28"/>
          <w:highlight w:val="none"/>
        </w:rPr>
        <w:t>（4）对城市规划区内新建住宅小区，应执行“四同时”政策，即燃气管道与住宅应同时规划、同时设计、同时施工、同时验收。新建住宅未由乙方同步建设燃气管道设施的，甲方及有关规划、住建等部门不予批准开工建设和组织验收；</w:t>
      </w:r>
    </w:p>
    <w:p>
      <w:pPr>
        <w:spacing w:line="360" w:lineRule="auto"/>
        <w:rPr>
          <w:rFonts w:ascii="Calibri" w:eastAsia="Calibri"/>
          <w:color w:val="auto"/>
          <w:sz w:val="28"/>
          <w:szCs w:val="28"/>
          <w:highlight w:val="none"/>
        </w:rPr>
      </w:pPr>
      <w:r>
        <w:rPr>
          <w:rFonts w:hint="eastAsia" w:ascii="Calibri" w:hAnsi="Calibri"/>
          <w:color w:val="auto"/>
          <w:sz w:val="28"/>
          <w:szCs w:val="28"/>
          <w:highlight w:val="none"/>
          <w:lang w:val="en-US" w:eastAsia="zh-CN"/>
        </w:rPr>
        <w:t xml:space="preserve">   </w:t>
      </w:r>
      <w:r>
        <w:rPr>
          <w:rFonts w:hint="eastAsia" w:ascii="Calibri" w:hAnsi="Calibri"/>
          <w:color w:val="auto"/>
          <w:sz w:val="28"/>
          <w:szCs w:val="28"/>
          <w:highlight w:val="none"/>
        </w:rPr>
        <w:t>（5）积极推行环保政策，出台鼓励使用清洁能源燃气的相关政策，逐步提高清洁能源在城市中的利用比例，在城市内严格控制用煤量及排污总量，有效控制大气污染，为城市居民营造良好的生存环境。</w:t>
      </w:r>
    </w:p>
    <w:p>
      <w:pPr>
        <w:spacing w:line="360" w:lineRule="auto"/>
        <w:rPr>
          <w:rFonts w:ascii="Calibri" w:eastAsia="Calibri"/>
          <w:color w:val="auto"/>
          <w:sz w:val="28"/>
          <w:szCs w:val="28"/>
          <w:highlight w:val="none"/>
        </w:rPr>
      </w:pPr>
      <w:r>
        <w:rPr>
          <w:rFonts w:hint="eastAsia" w:ascii="Calibri" w:hAnsi="Calibri"/>
          <w:color w:val="auto"/>
          <w:sz w:val="28"/>
          <w:szCs w:val="28"/>
          <w:highlight w:val="none"/>
          <w:lang w:val="en-US" w:eastAsia="zh-CN"/>
        </w:rPr>
        <w:t xml:space="preserve">   </w:t>
      </w:r>
      <w:r>
        <w:rPr>
          <w:rFonts w:hint="eastAsia" w:ascii="Calibri" w:hAnsi="Calibri"/>
          <w:color w:val="auto"/>
          <w:sz w:val="28"/>
          <w:szCs w:val="28"/>
          <w:highlight w:val="none"/>
        </w:rPr>
        <w:t>（6）保证乙方是特许经营区域内唯一的管道燃气经营商。对于特许经营区域内现在或者将来引入的管道天然气，乙方是唯一有权向上游天然气供应商购买天然气，并将天然气输送、销售给用户的公司。</w:t>
      </w:r>
    </w:p>
    <w:p>
      <w:pPr>
        <w:spacing w:line="360" w:lineRule="auto"/>
        <w:rPr>
          <w:rFonts w:ascii="Calibri" w:hAnsi="Calibri"/>
          <w:color w:val="auto"/>
          <w:sz w:val="28"/>
          <w:szCs w:val="28"/>
          <w:highlight w:val="none"/>
        </w:rPr>
      </w:pPr>
      <w:r>
        <w:rPr>
          <w:rFonts w:hint="eastAsia" w:ascii="Calibri" w:hAnsi="Calibri"/>
          <w:color w:val="auto"/>
          <w:sz w:val="28"/>
          <w:szCs w:val="28"/>
          <w:highlight w:val="none"/>
          <w:lang w:val="en-US" w:eastAsia="zh-CN"/>
        </w:rPr>
        <w:t xml:space="preserve">   </w:t>
      </w:r>
      <w:r>
        <w:rPr>
          <w:rFonts w:hint="eastAsia" w:ascii="Calibri" w:hAnsi="Calibri"/>
          <w:color w:val="auto"/>
          <w:sz w:val="28"/>
          <w:szCs w:val="28"/>
          <w:highlight w:val="none"/>
        </w:rPr>
        <w:t>（7）为乙方的特许经营提供必要的政策支持和扶持；</w:t>
      </w:r>
    </w:p>
    <w:p>
      <w:pPr>
        <w:spacing w:line="360" w:lineRule="auto"/>
        <w:rPr>
          <w:rFonts w:ascii="Calibri" w:hAnsi="Calibri"/>
          <w:color w:val="auto"/>
          <w:sz w:val="28"/>
          <w:szCs w:val="28"/>
          <w:highlight w:val="none"/>
        </w:rPr>
      </w:pPr>
      <w:r>
        <w:rPr>
          <w:rFonts w:hint="eastAsia" w:ascii="Calibri" w:hAnsi="Calibri"/>
          <w:color w:val="auto"/>
          <w:sz w:val="28"/>
          <w:szCs w:val="28"/>
          <w:highlight w:val="none"/>
          <w:lang w:val="en-US" w:eastAsia="zh-CN"/>
        </w:rPr>
        <w:t xml:space="preserve">   </w:t>
      </w:r>
      <w:r>
        <w:rPr>
          <w:rFonts w:hint="eastAsia" w:ascii="Calibri" w:hAnsi="Calibri"/>
          <w:color w:val="auto"/>
          <w:sz w:val="28"/>
          <w:szCs w:val="28"/>
          <w:highlight w:val="none"/>
        </w:rPr>
        <w:t>（8）制订临时接管乙方管道燃气设施及运行预案，保证社会公众的利益；</w:t>
      </w:r>
      <w:r>
        <w:rPr>
          <w:rFonts w:ascii="Calibri" w:eastAsia="Calibri"/>
          <w:color w:val="auto"/>
          <w:sz w:val="28"/>
          <w:szCs w:val="28"/>
          <w:highlight w:val="none"/>
        </w:rPr>
        <w:br w:type="textWrapping"/>
      </w:r>
      <w:r>
        <w:rPr>
          <w:rFonts w:hint="eastAsia" w:ascii="Calibri" w:eastAsia="宋体"/>
          <w:color w:val="auto"/>
          <w:sz w:val="28"/>
          <w:szCs w:val="28"/>
          <w:highlight w:val="none"/>
          <w:lang w:val="en-US" w:eastAsia="zh-CN"/>
        </w:rPr>
        <w:t xml:space="preserve">   </w:t>
      </w:r>
      <w:r>
        <w:rPr>
          <w:rFonts w:hint="eastAsia" w:ascii="Calibri" w:hAnsi="Calibri"/>
          <w:color w:val="auto"/>
          <w:sz w:val="28"/>
          <w:szCs w:val="28"/>
          <w:highlight w:val="none"/>
        </w:rPr>
        <w:t>（9）法律、法规及本协议规定的其他义务。</w:t>
      </w:r>
      <w:r>
        <w:rPr>
          <w:rFonts w:ascii="Calibri" w:eastAsia="Calibri"/>
          <w:color w:val="auto"/>
          <w:sz w:val="28"/>
          <w:szCs w:val="28"/>
          <w:highlight w:val="none"/>
        </w:rPr>
        <w:br w:type="textWrapping"/>
      </w:r>
      <w:r>
        <w:rPr>
          <w:rFonts w:ascii="Calibri" w:hAnsi="Calibri"/>
          <w:b/>
          <w:color w:val="auto"/>
          <w:sz w:val="28"/>
          <w:szCs w:val="28"/>
          <w:highlight w:val="none"/>
        </w:rPr>
        <w:t>9</w:t>
      </w:r>
      <w:r>
        <w:rPr>
          <w:rFonts w:hint="eastAsia" w:ascii="Calibri" w:hAnsi="Calibri"/>
          <w:b/>
          <w:color w:val="auto"/>
          <w:sz w:val="28"/>
          <w:szCs w:val="28"/>
          <w:highlight w:val="none"/>
        </w:rPr>
        <w:t>．</w:t>
      </w:r>
      <w:r>
        <w:rPr>
          <w:rFonts w:ascii="Calibri" w:hAnsi="Calibri"/>
          <w:b/>
          <w:color w:val="auto"/>
          <w:sz w:val="28"/>
          <w:szCs w:val="28"/>
          <w:highlight w:val="none"/>
        </w:rPr>
        <w:t>3</w:t>
      </w:r>
      <w:r>
        <w:rPr>
          <w:rFonts w:hint="eastAsia" w:ascii="Calibri" w:hAnsi="Calibri"/>
          <w:b/>
          <w:color w:val="auto"/>
          <w:sz w:val="28"/>
          <w:szCs w:val="28"/>
          <w:highlight w:val="none"/>
        </w:rPr>
        <w:t>　乙方权利</w:t>
      </w:r>
      <w:r>
        <w:rPr>
          <w:rFonts w:ascii="Calibri" w:eastAsia="Calibri"/>
          <w:color w:val="auto"/>
          <w:sz w:val="28"/>
          <w:szCs w:val="28"/>
          <w:highlight w:val="none"/>
        </w:rPr>
        <w:br w:type="textWrapping"/>
      </w:r>
      <w:r>
        <w:rPr>
          <w:rFonts w:hint="eastAsia" w:ascii="Calibri" w:hAnsi="Calibri"/>
          <w:color w:val="auto"/>
          <w:sz w:val="28"/>
          <w:szCs w:val="28"/>
          <w:highlight w:val="none"/>
        </w:rPr>
        <w:t>　</w:t>
      </w:r>
      <w:r>
        <w:rPr>
          <w:rFonts w:hint="eastAsia" w:ascii="Calibri" w:hAnsi="Calibri"/>
          <w:color w:val="auto"/>
          <w:sz w:val="28"/>
          <w:szCs w:val="28"/>
          <w:highlight w:val="none"/>
          <w:lang w:val="en-US" w:eastAsia="zh-CN"/>
        </w:rPr>
        <w:t xml:space="preserve"> </w:t>
      </w:r>
      <w:r>
        <w:rPr>
          <w:rFonts w:hint="eastAsia" w:ascii="Calibri" w:hAnsi="Calibri"/>
          <w:color w:val="auto"/>
          <w:sz w:val="28"/>
          <w:szCs w:val="28"/>
          <w:highlight w:val="none"/>
        </w:rPr>
        <w:t>（</w:t>
      </w:r>
      <w:r>
        <w:rPr>
          <w:rFonts w:ascii="Calibri" w:hAnsi="Calibri"/>
          <w:color w:val="auto"/>
          <w:sz w:val="28"/>
          <w:szCs w:val="28"/>
          <w:highlight w:val="none"/>
        </w:rPr>
        <w:t>1</w:t>
      </w:r>
      <w:r>
        <w:rPr>
          <w:rFonts w:hint="eastAsia" w:ascii="Calibri" w:hAnsi="Calibri"/>
          <w:color w:val="auto"/>
          <w:sz w:val="28"/>
          <w:szCs w:val="28"/>
          <w:highlight w:val="none"/>
        </w:rPr>
        <w:t>）享有特许经营权范围内的管道燃气业务独家经营的权利；</w:t>
      </w:r>
    </w:p>
    <w:p>
      <w:pPr>
        <w:spacing w:line="360" w:lineRule="auto"/>
        <w:rPr>
          <w:rFonts w:ascii="Calibri" w:hAnsi="Calibri"/>
          <w:color w:val="auto"/>
          <w:sz w:val="28"/>
          <w:szCs w:val="28"/>
          <w:highlight w:val="none"/>
        </w:rPr>
      </w:pPr>
      <w:r>
        <w:rPr>
          <w:rFonts w:hint="eastAsia" w:ascii="Calibri" w:hAnsi="Calibri"/>
          <w:color w:val="auto"/>
          <w:sz w:val="28"/>
          <w:szCs w:val="28"/>
          <w:highlight w:val="none"/>
          <w:lang w:val="en-US" w:eastAsia="zh-CN"/>
        </w:rPr>
        <w:t xml:space="preserve">   </w:t>
      </w:r>
      <w:r>
        <w:rPr>
          <w:rFonts w:hint="eastAsia" w:ascii="Calibri" w:hAnsi="Calibri"/>
          <w:color w:val="auto"/>
          <w:sz w:val="28"/>
          <w:szCs w:val="28"/>
          <w:highlight w:val="none"/>
        </w:rPr>
        <w:t>（</w:t>
      </w:r>
      <w:r>
        <w:rPr>
          <w:rFonts w:ascii="Calibri" w:hAnsi="Calibri"/>
          <w:color w:val="auto"/>
          <w:sz w:val="28"/>
          <w:szCs w:val="28"/>
          <w:highlight w:val="none"/>
        </w:rPr>
        <w:t>2</w:t>
      </w:r>
      <w:r>
        <w:rPr>
          <w:rFonts w:hint="eastAsia" w:ascii="Calibri" w:hAnsi="Calibri"/>
          <w:color w:val="auto"/>
          <w:sz w:val="28"/>
          <w:szCs w:val="28"/>
          <w:highlight w:val="none"/>
        </w:rPr>
        <w:t>）拥有特许经营权范围内的管道燃气的投资、发展权利；</w:t>
      </w:r>
      <w:r>
        <w:rPr>
          <w:rFonts w:ascii="Calibri" w:eastAsia="Calibri"/>
          <w:color w:val="auto"/>
          <w:sz w:val="28"/>
          <w:szCs w:val="28"/>
          <w:highlight w:val="none"/>
        </w:rPr>
        <w:br w:type="textWrapping"/>
      </w:r>
      <w:r>
        <w:rPr>
          <w:rFonts w:hint="eastAsia" w:ascii="Calibri" w:hAnsi="Calibri"/>
          <w:color w:val="auto"/>
          <w:sz w:val="28"/>
          <w:szCs w:val="28"/>
          <w:highlight w:val="none"/>
        </w:rPr>
        <w:t>　</w:t>
      </w:r>
      <w:r>
        <w:rPr>
          <w:rFonts w:hint="eastAsia" w:ascii="Calibri" w:hAnsi="Calibri"/>
          <w:color w:val="auto"/>
          <w:sz w:val="28"/>
          <w:szCs w:val="28"/>
          <w:highlight w:val="none"/>
          <w:lang w:val="en-US" w:eastAsia="zh-CN"/>
        </w:rPr>
        <w:t xml:space="preserve"> </w:t>
      </w:r>
      <w:r>
        <w:rPr>
          <w:rFonts w:hint="eastAsia" w:ascii="Calibri" w:hAnsi="Calibri"/>
          <w:color w:val="auto"/>
          <w:sz w:val="28"/>
          <w:szCs w:val="28"/>
          <w:highlight w:val="none"/>
        </w:rPr>
        <w:t>（</w:t>
      </w:r>
      <w:r>
        <w:rPr>
          <w:rFonts w:ascii="Calibri" w:hAnsi="Calibri"/>
          <w:color w:val="auto"/>
          <w:sz w:val="28"/>
          <w:szCs w:val="28"/>
          <w:highlight w:val="none"/>
        </w:rPr>
        <w:t>3</w:t>
      </w:r>
      <w:r>
        <w:rPr>
          <w:rFonts w:hint="eastAsia" w:ascii="Calibri" w:hAnsi="Calibri"/>
          <w:color w:val="auto"/>
          <w:sz w:val="28"/>
          <w:szCs w:val="28"/>
          <w:highlight w:val="none"/>
        </w:rPr>
        <w:t>）维护燃气管网安全运行的权利；</w:t>
      </w:r>
    </w:p>
    <w:p>
      <w:pPr>
        <w:spacing w:line="360" w:lineRule="auto"/>
        <w:rPr>
          <w:rFonts w:ascii="Calibri" w:hAnsi="Calibri"/>
          <w:color w:val="auto"/>
          <w:sz w:val="28"/>
          <w:szCs w:val="28"/>
          <w:highlight w:val="none"/>
        </w:rPr>
      </w:pPr>
      <w:r>
        <w:rPr>
          <w:rFonts w:hint="eastAsia" w:ascii="Calibri" w:hAnsi="Calibri"/>
          <w:color w:val="auto"/>
          <w:sz w:val="28"/>
          <w:szCs w:val="28"/>
          <w:highlight w:val="none"/>
          <w:lang w:val="en-US" w:eastAsia="zh-CN"/>
        </w:rPr>
        <w:t xml:space="preserve">   </w:t>
      </w:r>
      <w:r>
        <w:rPr>
          <w:rFonts w:hint="eastAsia" w:ascii="Calibri" w:hAnsi="Calibri"/>
          <w:color w:val="auto"/>
          <w:sz w:val="28"/>
          <w:szCs w:val="28"/>
          <w:highlight w:val="none"/>
        </w:rPr>
        <w:t>（</w:t>
      </w:r>
      <w:r>
        <w:rPr>
          <w:rFonts w:ascii="Calibri" w:hAnsi="Calibri"/>
          <w:color w:val="auto"/>
          <w:sz w:val="28"/>
          <w:szCs w:val="28"/>
          <w:highlight w:val="none"/>
        </w:rPr>
        <w:t>4</w:t>
      </w:r>
      <w:r>
        <w:rPr>
          <w:rFonts w:hint="eastAsia" w:ascii="Calibri" w:hAnsi="Calibri"/>
          <w:color w:val="auto"/>
          <w:sz w:val="28"/>
          <w:szCs w:val="28"/>
          <w:highlight w:val="none"/>
        </w:rPr>
        <w:t>）对用户燃气设施不符合国家有关安全技术标准以及存在安全隐患的，或者对严重违反燃气供用气合同或违法使用燃气的用户拒绝供气的权利；</w:t>
      </w:r>
      <w:r>
        <w:rPr>
          <w:rFonts w:ascii="Calibri" w:eastAsia="Calibri"/>
          <w:color w:val="auto"/>
          <w:sz w:val="28"/>
          <w:szCs w:val="28"/>
          <w:highlight w:val="none"/>
        </w:rPr>
        <w:br w:type="textWrapping"/>
      </w:r>
      <w:r>
        <w:rPr>
          <w:rFonts w:hint="eastAsia" w:ascii="Calibri" w:hAnsi="Calibri"/>
          <w:color w:val="auto"/>
          <w:sz w:val="28"/>
          <w:szCs w:val="28"/>
          <w:highlight w:val="none"/>
        </w:rPr>
        <w:t>　</w:t>
      </w:r>
      <w:r>
        <w:rPr>
          <w:rFonts w:hint="eastAsia" w:ascii="Calibri" w:hAnsi="Calibri"/>
          <w:color w:val="auto"/>
          <w:sz w:val="28"/>
          <w:szCs w:val="28"/>
          <w:highlight w:val="none"/>
          <w:lang w:val="en-US" w:eastAsia="zh-CN"/>
        </w:rPr>
        <w:t xml:space="preserve"> </w:t>
      </w:r>
      <w:r>
        <w:rPr>
          <w:rFonts w:hint="eastAsia" w:ascii="Calibri" w:hAnsi="Calibri"/>
          <w:color w:val="auto"/>
          <w:sz w:val="28"/>
          <w:szCs w:val="28"/>
          <w:highlight w:val="none"/>
        </w:rPr>
        <w:t>（</w:t>
      </w:r>
      <w:r>
        <w:rPr>
          <w:rFonts w:ascii="Calibri" w:hAnsi="Calibri"/>
          <w:color w:val="auto"/>
          <w:sz w:val="28"/>
          <w:szCs w:val="28"/>
          <w:highlight w:val="none"/>
        </w:rPr>
        <w:t>5</w:t>
      </w:r>
      <w:r>
        <w:rPr>
          <w:rFonts w:hint="eastAsia" w:ascii="Calibri" w:hAnsi="Calibri"/>
          <w:color w:val="auto"/>
          <w:sz w:val="28"/>
          <w:szCs w:val="28"/>
          <w:highlight w:val="none"/>
        </w:rPr>
        <w:t>）法律、法规及本协议规定的其他权利。</w:t>
      </w:r>
      <w:r>
        <w:rPr>
          <w:rFonts w:ascii="Calibri" w:eastAsia="Calibri"/>
          <w:color w:val="auto"/>
          <w:sz w:val="28"/>
          <w:szCs w:val="28"/>
          <w:highlight w:val="none"/>
        </w:rPr>
        <w:br w:type="textWrapping"/>
      </w:r>
      <w:r>
        <w:rPr>
          <w:rFonts w:hint="eastAsia" w:ascii="Calibri" w:hAnsi="Calibri"/>
          <w:color w:val="auto"/>
          <w:sz w:val="28"/>
          <w:szCs w:val="28"/>
          <w:highlight w:val="none"/>
        </w:rPr>
        <w:t>　　</w:t>
      </w:r>
      <w:r>
        <w:rPr>
          <w:rFonts w:ascii="Calibri" w:hAnsi="Calibri"/>
          <w:b/>
          <w:color w:val="auto"/>
          <w:sz w:val="28"/>
          <w:szCs w:val="28"/>
          <w:highlight w:val="none"/>
        </w:rPr>
        <w:t>9</w:t>
      </w:r>
      <w:r>
        <w:rPr>
          <w:rFonts w:hint="eastAsia" w:ascii="Calibri" w:hAnsi="Calibri"/>
          <w:b/>
          <w:color w:val="auto"/>
          <w:sz w:val="28"/>
          <w:szCs w:val="28"/>
          <w:highlight w:val="none"/>
        </w:rPr>
        <w:t>．</w:t>
      </w:r>
      <w:r>
        <w:rPr>
          <w:rFonts w:ascii="Calibri" w:hAnsi="Calibri"/>
          <w:b/>
          <w:color w:val="auto"/>
          <w:sz w:val="28"/>
          <w:szCs w:val="28"/>
          <w:highlight w:val="none"/>
        </w:rPr>
        <w:t>4</w:t>
      </w:r>
      <w:r>
        <w:rPr>
          <w:rFonts w:hint="eastAsia" w:ascii="Calibri" w:hAnsi="Calibri"/>
          <w:b/>
          <w:color w:val="auto"/>
          <w:sz w:val="28"/>
          <w:szCs w:val="28"/>
          <w:highlight w:val="none"/>
        </w:rPr>
        <w:t>　乙方义务</w:t>
      </w:r>
      <w:r>
        <w:rPr>
          <w:rFonts w:ascii="Calibri" w:eastAsia="Calibri"/>
          <w:color w:val="auto"/>
          <w:sz w:val="28"/>
          <w:szCs w:val="28"/>
          <w:highlight w:val="none"/>
        </w:rPr>
        <w:br w:type="textWrapping"/>
      </w:r>
      <w:r>
        <w:rPr>
          <w:rFonts w:hint="eastAsia" w:ascii="Calibri" w:hAnsi="Calibri"/>
          <w:color w:val="auto"/>
          <w:sz w:val="28"/>
          <w:szCs w:val="28"/>
          <w:highlight w:val="none"/>
        </w:rPr>
        <w:t>　</w:t>
      </w:r>
      <w:r>
        <w:rPr>
          <w:rFonts w:hint="eastAsia" w:ascii="Calibri" w:hAnsi="Calibri"/>
          <w:color w:val="auto"/>
          <w:sz w:val="28"/>
          <w:szCs w:val="28"/>
          <w:highlight w:val="none"/>
          <w:lang w:val="en-US" w:eastAsia="zh-CN"/>
        </w:rPr>
        <w:t xml:space="preserve"> </w:t>
      </w:r>
      <w:r>
        <w:rPr>
          <w:rFonts w:hint="eastAsia" w:ascii="Calibri" w:hAnsi="Calibri"/>
          <w:color w:val="auto"/>
          <w:sz w:val="28"/>
          <w:szCs w:val="28"/>
          <w:highlight w:val="none"/>
        </w:rPr>
        <w:t>（</w:t>
      </w:r>
      <w:r>
        <w:rPr>
          <w:rFonts w:ascii="Calibri" w:hAnsi="Calibri"/>
          <w:color w:val="auto"/>
          <w:sz w:val="28"/>
          <w:szCs w:val="28"/>
          <w:highlight w:val="none"/>
        </w:rPr>
        <w:t>1</w:t>
      </w:r>
      <w:r>
        <w:rPr>
          <w:rFonts w:hint="eastAsia" w:ascii="Calibri" w:hAnsi="Calibri"/>
          <w:color w:val="auto"/>
          <w:sz w:val="28"/>
          <w:szCs w:val="28"/>
          <w:highlight w:val="none"/>
        </w:rPr>
        <w:t>）制订管道燃气发展的远、近期投资计划，按照城市总体规划及燃气专业规划的要求组织投资建设；</w:t>
      </w:r>
    </w:p>
    <w:p>
      <w:pPr>
        <w:spacing w:line="360" w:lineRule="auto"/>
        <w:rPr>
          <w:rFonts w:ascii="Calibri" w:hAnsi="Calibri"/>
          <w:color w:val="auto"/>
          <w:sz w:val="28"/>
          <w:szCs w:val="28"/>
          <w:highlight w:val="none"/>
        </w:rPr>
      </w:pPr>
      <w:r>
        <w:rPr>
          <w:rFonts w:hint="eastAsia" w:ascii="Calibri" w:hAnsi="Calibri"/>
          <w:color w:val="auto"/>
          <w:sz w:val="28"/>
          <w:szCs w:val="28"/>
          <w:highlight w:val="none"/>
          <w:lang w:val="en-US" w:eastAsia="zh-CN"/>
        </w:rPr>
        <w:t xml:space="preserve">   </w:t>
      </w:r>
      <w:r>
        <w:rPr>
          <w:rFonts w:hint="eastAsia" w:ascii="Calibri" w:hAnsi="Calibri"/>
          <w:color w:val="auto"/>
          <w:sz w:val="28"/>
          <w:szCs w:val="28"/>
          <w:highlight w:val="none"/>
        </w:rPr>
        <w:t>（2）乙方应在本协议签订生效后及时在阳山县注册成立项目公司，项目公司依法取得建站土地后的3个月内开工建设，自动工之日起一年内力争完成阳山县中心城区内管道燃气50%管网建设并点火通气。</w:t>
      </w:r>
    </w:p>
    <w:p>
      <w:pPr>
        <w:spacing w:line="360" w:lineRule="auto"/>
        <w:rPr>
          <w:rFonts w:ascii="Calibri" w:hAnsi="Calibri"/>
          <w:color w:val="auto"/>
          <w:sz w:val="28"/>
          <w:szCs w:val="28"/>
          <w:highlight w:val="none"/>
        </w:rPr>
      </w:pPr>
      <w:r>
        <w:rPr>
          <w:rFonts w:hint="eastAsia" w:ascii="Calibri" w:hAnsi="Calibri"/>
          <w:color w:val="auto"/>
          <w:sz w:val="28"/>
          <w:szCs w:val="28"/>
          <w:highlight w:val="none"/>
          <w:lang w:val="en-US" w:eastAsia="zh-CN"/>
        </w:rPr>
        <w:t xml:space="preserve">  </w:t>
      </w:r>
      <w:r>
        <w:rPr>
          <w:rFonts w:hint="eastAsia" w:ascii="Calibri" w:hAnsi="Calibri"/>
          <w:color w:val="auto"/>
          <w:sz w:val="28"/>
          <w:szCs w:val="28"/>
          <w:highlight w:val="none"/>
        </w:rPr>
        <w:t>（3）按照国家、行业、地方及企业标准提供燃气及相关服务；</w:t>
      </w:r>
      <w:r>
        <w:rPr>
          <w:rFonts w:ascii="Calibri" w:eastAsia="Calibri"/>
          <w:color w:val="auto"/>
          <w:sz w:val="28"/>
          <w:szCs w:val="28"/>
          <w:highlight w:val="none"/>
        </w:rPr>
        <w:br w:type="textWrapping"/>
      </w:r>
      <w:r>
        <w:rPr>
          <w:rFonts w:hint="eastAsia" w:ascii="Calibri" w:eastAsia="宋体"/>
          <w:color w:val="auto"/>
          <w:sz w:val="28"/>
          <w:szCs w:val="28"/>
          <w:highlight w:val="none"/>
          <w:lang w:val="en-US" w:eastAsia="zh-CN"/>
        </w:rPr>
        <w:t xml:space="preserve">  </w:t>
      </w:r>
      <w:r>
        <w:rPr>
          <w:rFonts w:hint="eastAsia" w:ascii="Calibri" w:hAnsi="Calibri"/>
          <w:color w:val="auto"/>
          <w:sz w:val="28"/>
          <w:szCs w:val="28"/>
          <w:highlight w:val="none"/>
        </w:rPr>
        <w:t>（4）维护燃气管网设施正常运行，保证供气连续性。发生故障或者燃气安全事故时，应迅速抢修和援救；</w:t>
      </w:r>
      <w:r>
        <w:rPr>
          <w:rFonts w:ascii="Calibri" w:eastAsia="Calibri"/>
          <w:color w:val="auto"/>
          <w:sz w:val="28"/>
          <w:szCs w:val="28"/>
          <w:highlight w:val="none"/>
        </w:rPr>
        <w:br w:type="textWrapping"/>
      </w:r>
      <w:r>
        <w:rPr>
          <w:rFonts w:hint="eastAsia" w:ascii="Calibri" w:hAnsi="Calibri"/>
          <w:color w:val="auto"/>
          <w:sz w:val="28"/>
          <w:szCs w:val="28"/>
          <w:highlight w:val="none"/>
        </w:rPr>
        <w:t>　（5）有普遍服务和持续经营义务，未经甲方同意，不得擅自决定中断供气、解散、歇业；</w:t>
      </w:r>
    </w:p>
    <w:p>
      <w:pPr>
        <w:spacing w:line="360" w:lineRule="auto"/>
        <w:rPr>
          <w:rFonts w:ascii="Calibri" w:hAnsi="Calibri"/>
          <w:color w:val="auto"/>
          <w:sz w:val="28"/>
          <w:szCs w:val="28"/>
          <w:highlight w:val="none"/>
        </w:rPr>
      </w:pPr>
      <w:r>
        <w:rPr>
          <w:rFonts w:hint="eastAsia" w:ascii="Calibri" w:hAnsi="Calibri"/>
          <w:color w:val="auto"/>
          <w:sz w:val="28"/>
          <w:szCs w:val="28"/>
          <w:highlight w:val="none"/>
          <w:lang w:val="en-US" w:eastAsia="zh-CN"/>
        </w:rPr>
        <w:t xml:space="preserve">  </w:t>
      </w:r>
      <w:r>
        <w:rPr>
          <w:rFonts w:hint="eastAsia" w:ascii="Calibri" w:hAnsi="Calibri"/>
          <w:color w:val="auto"/>
          <w:sz w:val="28"/>
          <w:szCs w:val="28"/>
          <w:highlight w:val="none"/>
        </w:rPr>
        <w:t>（6）接受甲方的日常监督管理及依照法律、法规进行的临时接管和其他管制措施和社会公众的监督；</w:t>
      </w:r>
      <w:r>
        <w:rPr>
          <w:rFonts w:ascii="Calibri" w:eastAsia="Calibri"/>
          <w:color w:val="auto"/>
          <w:sz w:val="28"/>
          <w:szCs w:val="28"/>
          <w:highlight w:val="none"/>
        </w:rPr>
        <w:br w:type="textWrapping"/>
      </w:r>
      <w:r>
        <w:rPr>
          <w:rFonts w:hint="eastAsia" w:ascii="Calibri" w:hAnsi="Calibri"/>
          <w:color w:val="auto"/>
          <w:sz w:val="28"/>
          <w:szCs w:val="28"/>
          <w:highlight w:val="none"/>
        </w:rPr>
        <w:t>　（7）乙方有义务且必须就由于建设、运营和维护市政管道燃气设施过程中，由于乙方的过错而造成的环境污染及因此而导致的甲方受到的任何损害、费用、损失或责任，对甲方予以赔偿。但若所要求的损害、费用、损失或责任是由甲方违约所致或依本协议乙方不承担责任的环境污染除外；</w:t>
      </w:r>
      <w:r>
        <w:rPr>
          <w:rFonts w:ascii="Calibri" w:eastAsia="Calibri"/>
          <w:color w:val="auto"/>
          <w:sz w:val="28"/>
          <w:szCs w:val="28"/>
          <w:highlight w:val="none"/>
        </w:rPr>
        <w:br w:type="textWrapping"/>
      </w:r>
      <w:r>
        <w:rPr>
          <w:rFonts w:hint="eastAsia" w:ascii="Calibri" w:hAnsi="Calibri"/>
          <w:color w:val="auto"/>
          <w:sz w:val="28"/>
          <w:szCs w:val="28"/>
          <w:highlight w:val="none"/>
        </w:rPr>
        <w:t>　</w:t>
      </w:r>
      <w:r>
        <w:rPr>
          <w:rFonts w:hint="eastAsia" w:ascii="Calibri" w:hAnsi="Calibri"/>
          <w:color w:val="auto"/>
          <w:sz w:val="28"/>
          <w:szCs w:val="28"/>
          <w:highlight w:val="none"/>
          <w:lang w:val="en-US" w:eastAsia="zh-CN"/>
        </w:rPr>
        <w:t xml:space="preserve"> </w:t>
      </w:r>
      <w:r>
        <w:rPr>
          <w:rFonts w:hint="eastAsia" w:ascii="Calibri" w:hAnsi="Calibri"/>
          <w:color w:val="auto"/>
          <w:sz w:val="28"/>
          <w:szCs w:val="28"/>
          <w:highlight w:val="none"/>
        </w:rPr>
        <w:t>（8）乙方必须将有关市政管道燃气设施设计、建设和运行的所有技术数据，包括设计报告、计算和设计文件、运行数据，在编制完成后立即提交给甲方，以使甲方能监督项目设施的设计、建设进度和设施的运行；</w:t>
      </w:r>
      <w:r>
        <w:rPr>
          <w:rFonts w:ascii="Calibri" w:eastAsia="Calibri"/>
          <w:color w:val="auto"/>
          <w:sz w:val="28"/>
          <w:szCs w:val="28"/>
          <w:highlight w:val="none"/>
        </w:rPr>
        <w:br w:type="textWrapping"/>
      </w:r>
      <w:r>
        <w:rPr>
          <w:rFonts w:hint="eastAsia" w:ascii="Calibri" w:hAnsi="Calibri"/>
          <w:color w:val="auto"/>
          <w:sz w:val="28"/>
          <w:szCs w:val="28"/>
          <w:highlight w:val="none"/>
        </w:rPr>
        <w:t>　</w:t>
      </w:r>
      <w:r>
        <w:rPr>
          <w:rFonts w:hint="eastAsia" w:ascii="Calibri" w:hAnsi="Calibri"/>
          <w:color w:val="auto"/>
          <w:sz w:val="28"/>
          <w:szCs w:val="28"/>
          <w:highlight w:val="none"/>
          <w:lang w:val="en-US" w:eastAsia="zh-CN"/>
        </w:rPr>
        <w:t xml:space="preserve"> </w:t>
      </w:r>
      <w:r>
        <w:rPr>
          <w:rFonts w:hint="eastAsia" w:ascii="Calibri" w:hAnsi="Calibri"/>
          <w:color w:val="auto"/>
          <w:sz w:val="28"/>
          <w:szCs w:val="28"/>
          <w:highlight w:val="none"/>
        </w:rPr>
        <w:t>（9）在特许经营权被取消或终止后，应在授权主体规定的时间内，保证正常供应和服务的连续性。在移交用于维持特许经营业务正常运作所必需的资产及全部档案给授权主体指定的单位时，对交接期间的安全、服务和人员安置承担全部责任。</w:t>
      </w:r>
    </w:p>
    <w:p>
      <w:pPr>
        <w:spacing w:line="360" w:lineRule="auto"/>
        <w:rPr>
          <w:rFonts w:ascii="Calibri" w:eastAsia="Calibri"/>
          <w:color w:val="auto"/>
          <w:sz w:val="28"/>
          <w:szCs w:val="28"/>
          <w:highlight w:val="none"/>
        </w:rPr>
      </w:pPr>
      <w:r>
        <w:rPr>
          <w:rFonts w:hint="eastAsia" w:ascii="Calibri" w:hAnsi="Calibri"/>
          <w:color w:val="auto"/>
          <w:sz w:val="28"/>
          <w:szCs w:val="28"/>
          <w:highlight w:val="none"/>
          <w:lang w:val="en-US" w:eastAsia="zh-CN"/>
        </w:rPr>
        <w:t xml:space="preserve">   </w:t>
      </w:r>
      <w:r>
        <w:rPr>
          <w:rFonts w:hint="eastAsia" w:ascii="Calibri" w:hAnsi="Calibri"/>
          <w:color w:val="auto"/>
          <w:sz w:val="28"/>
          <w:szCs w:val="28"/>
          <w:highlight w:val="none"/>
        </w:rPr>
        <w:t>（10）乙方不得将特许经营权转让给第三方，但乙方因内部重组有权将本协议约定的乙方的所有权利与义务转让给其关联公司。</w:t>
      </w:r>
    </w:p>
    <w:p>
      <w:pPr>
        <w:spacing w:line="360" w:lineRule="auto"/>
        <w:rPr>
          <w:rFonts w:ascii="Calibri" w:hAnsi="Calibri"/>
          <w:color w:val="auto"/>
          <w:sz w:val="28"/>
          <w:szCs w:val="28"/>
          <w:highlight w:val="none"/>
        </w:rPr>
      </w:pPr>
      <w:r>
        <w:rPr>
          <w:rFonts w:hint="eastAsia" w:ascii="宋体" w:hAnsi="宋体"/>
          <w:color w:val="auto"/>
          <w:sz w:val="28"/>
          <w:szCs w:val="28"/>
          <w:highlight w:val="none"/>
          <w:lang w:val="en-US" w:eastAsia="zh-CN"/>
        </w:rPr>
        <w:t xml:space="preserve">   </w:t>
      </w:r>
      <w:r>
        <w:rPr>
          <w:rFonts w:hint="eastAsia" w:ascii="宋体" w:hAnsi="宋体"/>
          <w:color w:val="auto"/>
          <w:sz w:val="28"/>
          <w:szCs w:val="28"/>
          <w:highlight w:val="none"/>
        </w:rPr>
        <w:t>（11）关联公司是指通过拥有投票权的股份或其他直接或间接的方式被本合同一方控制、或与本合同一方受相同控制、或控制本合同一方的企业。</w:t>
      </w:r>
      <w:r>
        <w:rPr>
          <w:rFonts w:ascii="Calibri" w:eastAsia="Calibri"/>
          <w:color w:val="auto"/>
          <w:sz w:val="28"/>
          <w:szCs w:val="28"/>
          <w:highlight w:val="none"/>
        </w:rPr>
        <w:br w:type="textWrapping"/>
      </w:r>
      <w:r>
        <w:rPr>
          <w:rFonts w:ascii="Calibri" w:hAnsi="Calibri"/>
          <w:b/>
          <w:color w:val="auto"/>
          <w:sz w:val="28"/>
          <w:szCs w:val="28"/>
          <w:highlight w:val="none"/>
        </w:rPr>
        <w:t>9</w:t>
      </w:r>
      <w:r>
        <w:rPr>
          <w:rFonts w:hint="eastAsia" w:ascii="Calibri" w:hAnsi="Calibri"/>
          <w:b/>
          <w:color w:val="auto"/>
          <w:sz w:val="28"/>
          <w:szCs w:val="28"/>
          <w:highlight w:val="none"/>
        </w:rPr>
        <w:t>．</w:t>
      </w:r>
      <w:r>
        <w:rPr>
          <w:rFonts w:ascii="Calibri" w:hAnsi="Calibri"/>
          <w:b/>
          <w:color w:val="auto"/>
          <w:sz w:val="28"/>
          <w:szCs w:val="28"/>
          <w:highlight w:val="none"/>
        </w:rPr>
        <w:t>5</w:t>
      </w:r>
      <w:r>
        <w:rPr>
          <w:rFonts w:hint="eastAsia" w:ascii="Calibri" w:hAnsi="Calibri"/>
          <w:b/>
          <w:color w:val="auto"/>
          <w:sz w:val="28"/>
          <w:szCs w:val="28"/>
          <w:highlight w:val="none"/>
        </w:rPr>
        <w:t>　定期报告</w:t>
      </w:r>
      <w:r>
        <w:rPr>
          <w:rFonts w:ascii="Calibri" w:eastAsia="Calibri"/>
          <w:color w:val="auto"/>
          <w:sz w:val="28"/>
          <w:szCs w:val="28"/>
          <w:highlight w:val="none"/>
        </w:rPr>
        <w:br w:type="textWrapping"/>
      </w:r>
      <w:r>
        <w:rPr>
          <w:rFonts w:hint="eastAsia" w:ascii="Calibri" w:hAnsi="Calibri"/>
          <w:color w:val="auto"/>
          <w:sz w:val="28"/>
          <w:szCs w:val="28"/>
          <w:highlight w:val="none"/>
        </w:rPr>
        <w:t>乙方在特许经营期间，应当对下列事项向甲方做出定期报告：</w:t>
      </w:r>
      <w:r>
        <w:rPr>
          <w:rFonts w:ascii="Calibri" w:eastAsia="Calibri"/>
          <w:color w:val="auto"/>
          <w:sz w:val="28"/>
          <w:szCs w:val="28"/>
          <w:highlight w:val="none"/>
        </w:rPr>
        <w:br w:type="textWrapping"/>
      </w:r>
      <w:r>
        <w:rPr>
          <w:rFonts w:hint="eastAsia" w:ascii="Calibri" w:hAnsi="Calibri"/>
          <w:color w:val="auto"/>
          <w:sz w:val="28"/>
          <w:szCs w:val="28"/>
          <w:highlight w:val="none"/>
        </w:rPr>
        <w:t>　</w:t>
      </w:r>
      <w:r>
        <w:rPr>
          <w:rFonts w:hint="eastAsia" w:ascii="Calibri" w:hAnsi="Calibri"/>
          <w:color w:val="auto"/>
          <w:sz w:val="28"/>
          <w:szCs w:val="28"/>
          <w:highlight w:val="none"/>
          <w:lang w:val="en-US" w:eastAsia="zh-CN"/>
        </w:rPr>
        <w:t xml:space="preserve"> </w:t>
      </w:r>
      <w:r>
        <w:rPr>
          <w:rFonts w:hint="eastAsia" w:ascii="Calibri" w:hAnsi="Calibri"/>
          <w:color w:val="auto"/>
          <w:sz w:val="28"/>
          <w:szCs w:val="28"/>
          <w:highlight w:val="none"/>
        </w:rPr>
        <w:t>（</w:t>
      </w:r>
      <w:r>
        <w:rPr>
          <w:rFonts w:ascii="Calibri" w:hAnsi="Calibri"/>
          <w:color w:val="auto"/>
          <w:sz w:val="28"/>
          <w:szCs w:val="28"/>
          <w:highlight w:val="none"/>
        </w:rPr>
        <w:t>1</w:t>
      </w:r>
      <w:r>
        <w:rPr>
          <w:rFonts w:hint="eastAsia" w:ascii="Calibri" w:hAnsi="Calibri"/>
          <w:color w:val="auto"/>
          <w:sz w:val="28"/>
          <w:szCs w:val="28"/>
          <w:highlight w:val="none"/>
        </w:rPr>
        <w:t>）乙方应于每年的</w:t>
      </w:r>
      <w:r>
        <w:rPr>
          <w:rFonts w:ascii="Calibri" w:hAnsi="Calibri"/>
          <w:color w:val="auto"/>
          <w:sz w:val="28"/>
          <w:szCs w:val="28"/>
          <w:highlight w:val="none"/>
        </w:rPr>
        <w:t>4</w:t>
      </w:r>
      <w:r>
        <w:rPr>
          <w:rFonts w:hint="eastAsia" w:ascii="Calibri" w:hAnsi="Calibri"/>
          <w:color w:val="auto"/>
          <w:sz w:val="28"/>
          <w:szCs w:val="28"/>
          <w:highlight w:val="none"/>
        </w:rPr>
        <w:t>月前向甲方提交上一年度的特许经营报告（内容包括特许经营资产情况、发展、管理、服务质量报告、经营计划的执行情况和企业基本状况等）、特许经营财务报告；</w:t>
      </w:r>
      <w:r>
        <w:rPr>
          <w:rFonts w:ascii="Calibri" w:eastAsia="Calibri"/>
          <w:color w:val="auto"/>
          <w:sz w:val="28"/>
          <w:szCs w:val="28"/>
          <w:highlight w:val="none"/>
        </w:rPr>
        <w:br w:type="textWrapping"/>
      </w:r>
      <w:r>
        <w:rPr>
          <w:rFonts w:hint="eastAsia" w:ascii="Calibri" w:hAnsi="Calibri"/>
          <w:color w:val="auto"/>
          <w:sz w:val="28"/>
          <w:szCs w:val="28"/>
          <w:highlight w:val="none"/>
        </w:rPr>
        <w:t>　</w:t>
      </w:r>
      <w:r>
        <w:rPr>
          <w:rFonts w:hint="eastAsia" w:ascii="Calibri" w:hAnsi="Calibri"/>
          <w:color w:val="auto"/>
          <w:sz w:val="28"/>
          <w:szCs w:val="28"/>
          <w:highlight w:val="none"/>
          <w:lang w:val="en-US" w:eastAsia="zh-CN"/>
        </w:rPr>
        <w:t xml:space="preserve"> </w:t>
      </w:r>
      <w:r>
        <w:rPr>
          <w:rFonts w:hint="eastAsia" w:ascii="Calibri" w:hAnsi="Calibri"/>
          <w:color w:val="auto"/>
          <w:sz w:val="28"/>
          <w:szCs w:val="28"/>
          <w:highlight w:val="none"/>
        </w:rPr>
        <w:t>（</w:t>
      </w:r>
      <w:r>
        <w:rPr>
          <w:rFonts w:ascii="Calibri" w:hAnsi="Calibri"/>
          <w:color w:val="auto"/>
          <w:sz w:val="28"/>
          <w:szCs w:val="28"/>
          <w:highlight w:val="none"/>
        </w:rPr>
        <w:t>2</w:t>
      </w:r>
      <w:r>
        <w:rPr>
          <w:rFonts w:hint="eastAsia" w:ascii="Calibri" w:hAnsi="Calibri"/>
          <w:color w:val="auto"/>
          <w:sz w:val="28"/>
          <w:szCs w:val="28"/>
          <w:highlight w:val="none"/>
        </w:rPr>
        <w:t>）乙方应于每年</w:t>
      </w:r>
      <w:r>
        <w:rPr>
          <w:rFonts w:ascii="Calibri" w:hAnsi="Calibri"/>
          <w:color w:val="auto"/>
          <w:sz w:val="28"/>
          <w:szCs w:val="28"/>
          <w:highlight w:val="none"/>
        </w:rPr>
        <w:t>4</w:t>
      </w:r>
      <w:r>
        <w:rPr>
          <w:rFonts w:hint="eastAsia" w:ascii="Calibri" w:hAnsi="Calibri"/>
          <w:color w:val="auto"/>
          <w:sz w:val="28"/>
          <w:szCs w:val="28"/>
          <w:highlight w:val="none"/>
        </w:rPr>
        <w:t>月前向甲方提交上一年度的管道燃气质量检测报告；</w:t>
      </w:r>
      <w:r>
        <w:rPr>
          <w:rFonts w:ascii="Calibri" w:eastAsia="Calibri"/>
          <w:color w:val="auto"/>
          <w:sz w:val="28"/>
          <w:szCs w:val="28"/>
          <w:highlight w:val="none"/>
        </w:rPr>
        <w:br w:type="textWrapping"/>
      </w:r>
      <w:r>
        <w:rPr>
          <w:rFonts w:hint="eastAsia" w:ascii="Calibri" w:hAnsi="Calibri"/>
          <w:color w:val="auto"/>
          <w:sz w:val="28"/>
          <w:szCs w:val="28"/>
          <w:highlight w:val="none"/>
        </w:rPr>
        <w:t>　</w:t>
      </w:r>
      <w:r>
        <w:rPr>
          <w:rFonts w:hint="eastAsia" w:ascii="Calibri" w:hAnsi="Calibri"/>
          <w:color w:val="auto"/>
          <w:sz w:val="28"/>
          <w:szCs w:val="28"/>
          <w:highlight w:val="none"/>
          <w:lang w:val="en-US" w:eastAsia="zh-CN"/>
        </w:rPr>
        <w:t xml:space="preserve"> </w:t>
      </w:r>
      <w:r>
        <w:rPr>
          <w:rFonts w:hint="eastAsia" w:ascii="Calibri" w:hAnsi="Calibri"/>
          <w:color w:val="auto"/>
          <w:sz w:val="28"/>
          <w:szCs w:val="28"/>
          <w:highlight w:val="none"/>
        </w:rPr>
        <w:t>（</w:t>
      </w:r>
      <w:r>
        <w:rPr>
          <w:rFonts w:ascii="Calibri" w:hAnsi="Calibri"/>
          <w:color w:val="auto"/>
          <w:sz w:val="28"/>
          <w:szCs w:val="28"/>
          <w:highlight w:val="none"/>
        </w:rPr>
        <w:t>3</w:t>
      </w:r>
      <w:r>
        <w:rPr>
          <w:rFonts w:hint="eastAsia" w:ascii="Calibri" w:hAnsi="Calibri"/>
          <w:color w:val="auto"/>
          <w:sz w:val="28"/>
          <w:szCs w:val="28"/>
          <w:highlight w:val="none"/>
        </w:rPr>
        <w:t>）乙方应于每年</w:t>
      </w:r>
      <w:r>
        <w:rPr>
          <w:rFonts w:ascii="Calibri" w:hAnsi="Calibri"/>
          <w:color w:val="auto"/>
          <w:sz w:val="28"/>
          <w:szCs w:val="28"/>
          <w:highlight w:val="none"/>
        </w:rPr>
        <w:t>4</w:t>
      </w:r>
      <w:r>
        <w:rPr>
          <w:rFonts w:hint="eastAsia" w:ascii="Calibri" w:hAnsi="Calibri"/>
          <w:color w:val="auto"/>
          <w:sz w:val="28"/>
          <w:szCs w:val="28"/>
          <w:highlight w:val="none"/>
        </w:rPr>
        <w:t>月前向甲方提交本年度管道燃气发展、气量、投资项目计划报告，年度经营计划。</w:t>
      </w:r>
      <w:r>
        <w:rPr>
          <w:rFonts w:ascii="Calibri" w:eastAsia="Calibri"/>
          <w:color w:val="auto"/>
          <w:sz w:val="28"/>
          <w:szCs w:val="28"/>
          <w:highlight w:val="none"/>
        </w:rPr>
        <w:br w:type="textWrapping"/>
      </w:r>
      <w:r>
        <w:rPr>
          <w:rFonts w:ascii="Calibri" w:hAnsi="Calibri"/>
          <w:b/>
          <w:color w:val="auto"/>
          <w:sz w:val="28"/>
          <w:szCs w:val="28"/>
          <w:highlight w:val="none"/>
        </w:rPr>
        <w:t>9</w:t>
      </w:r>
      <w:r>
        <w:rPr>
          <w:rFonts w:hint="eastAsia" w:ascii="Calibri" w:hAnsi="Calibri"/>
          <w:b/>
          <w:color w:val="auto"/>
          <w:sz w:val="28"/>
          <w:szCs w:val="28"/>
          <w:highlight w:val="none"/>
        </w:rPr>
        <w:t>．</w:t>
      </w:r>
      <w:r>
        <w:rPr>
          <w:rFonts w:ascii="Calibri" w:hAnsi="Calibri"/>
          <w:b/>
          <w:color w:val="auto"/>
          <w:sz w:val="28"/>
          <w:szCs w:val="28"/>
          <w:highlight w:val="none"/>
        </w:rPr>
        <w:t>6</w:t>
      </w:r>
      <w:r>
        <w:rPr>
          <w:rFonts w:hint="eastAsia" w:ascii="Calibri" w:hAnsi="Calibri"/>
          <w:b/>
          <w:color w:val="auto"/>
          <w:sz w:val="28"/>
          <w:szCs w:val="28"/>
          <w:highlight w:val="none"/>
        </w:rPr>
        <w:t>　临时报告</w:t>
      </w:r>
      <w:r>
        <w:rPr>
          <w:rFonts w:ascii="Calibri" w:eastAsia="Calibri"/>
          <w:color w:val="auto"/>
          <w:sz w:val="28"/>
          <w:szCs w:val="28"/>
          <w:highlight w:val="none"/>
        </w:rPr>
        <w:br w:type="textWrapping"/>
      </w:r>
      <w:r>
        <w:rPr>
          <w:rFonts w:hint="eastAsia" w:ascii="Calibri" w:hAnsi="Calibri"/>
          <w:color w:val="auto"/>
          <w:sz w:val="28"/>
          <w:szCs w:val="28"/>
          <w:highlight w:val="none"/>
        </w:rPr>
        <w:t>乙方应当在下列事项出现后十日内向甲方提交书面备案报告：</w:t>
      </w:r>
      <w:r>
        <w:rPr>
          <w:rFonts w:ascii="Calibri" w:eastAsia="Calibri"/>
          <w:color w:val="auto"/>
          <w:sz w:val="28"/>
          <w:szCs w:val="28"/>
          <w:highlight w:val="none"/>
        </w:rPr>
        <w:br w:type="textWrapping"/>
      </w:r>
      <w:r>
        <w:rPr>
          <w:rFonts w:hint="eastAsia" w:ascii="Calibri" w:hAnsi="Calibri"/>
          <w:color w:val="auto"/>
          <w:sz w:val="28"/>
          <w:szCs w:val="28"/>
          <w:highlight w:val="none"/>
        </w:rPr>
        <w:t>　</w:t>
      </w:r>
      <w:r>
        <w:rPr>
          <w:rFonts w:hint="eastAsia" w:ascii="Calibri" w:hAnsi="Calibri"/>
          <w:color w:val="auto"/>
          <w:sz w:val="28"/>
          <w:szCs w:val="28"/>
          <w:highlight w:val="none"/>
          <w:lang w:val="en-US" w:eastAsia="zh-CN"/>
        </w:rPr>
        <w:t xml:space="preserve"> </w:t>
      </w:r>
      <w:r>
        <w:rPr>
          <w:rFonts w:hint="eastAsia" w:ascii="Calibri" w:hAnsi="Calibri"/>
          <w:color w:val="auto"/>
          <w:sz w:val="28"/>
          <w:szCs w:val="28"/>
          <w:highlight w:val="none"/>
        </w:rPr>
        <w:t>（</w:t>
      </w:r>
      <w:r>
        <w:rPr>
          <w:rFonts w:ascii="Calibri" w:hAnsi="Calibri"/>
          <w:color w:val="auto"/>
          <w:sz w:val="28"/>
          <w:szCs w:val="28"/>
          <w:highlight w:val="none"/>
        </w:rPr>
        <w:t>1</w:t>
      </w:r>
      <w:r>
        <w:rPr>
          <w:rFonts w:hint="eastAsia" w:ascii="Calibri" w:hAnsi="Calibri"/>
          <w:color w:val="auto"/>
          <w:sz w:val="28"/>
          <w:szCs w:val="28"/>
          <w:highlight w:val="none"/>
        </w:rPr>
        <w:t>）乙方制订远期经营计划（如五年或十年经营计划）；</w:t>
      </w:r>
      <w:r>
        <w:rPr>
          <w:rFonts w:ascii="Calibri" w:eastAsia="Calibri"/>
          <w:color w:val="auto"/>
          <w:sz w:val="28"/>
          <w:szCs w:val="28"/>
          <w:highlight w:val="none"/>
        </w:rPr>
        <w:br w:type="textWrapping"/>
      </w:r>
      <w:r>
        <w:rPr>
          <w:rFonts w:hint="eastAsia" w:ascii="Calibri" w:hAnsi="Calibri"/>
          <w:color w:val="auto"/>
          <w:sz w:val="28"/>
          <w:szCs w:val="28"/>
          <w:highlight w:val="none"/>
        </w:rPr>
        <w:t>　</w:t>
      </w:r>
      <w:r>
        <w:rPr>
          <w:rFonts w:hint="eastAsia" w:ascii="Calibri" w:hAnsi="Calibri"/>
          <w:color w:val="auto"/>
          <w:sz w:val="28"/>
          <w:szCs w:val="28"/>
          <w:highlight w:val="none"/>
          <w:lang w:val="en-US" w:eastAsia="zh-CN"/>
        </w:rPr>
        <w:t xml:space="preserve"> </w:t>
      </w:r>
      <w:r>
        <w:rPr>
          <w:rFonts w:hint="eastAsia" w:ascii="Calibri" w:hAnsi="Calibri"/>
          <w:color w:val="auto"/>
          <w:sz w:val="28"/>
          <w:szCs w:val="28"/>
          <w:highlight w:val="none"/>
        </w:rPr>
        <w:t>（</w:t>
      </w:r>
      <w:r>
        <w:rPr>
          <w:rFonts w:ascii="Calibri" w:hAnsi="Calibri"/>
          <w:color w:val="auto"/>
          <w:sz w:val="28"/>
          <w:szCs w:val="28"/>
          <w:highlight w:val="none"/>
        </w:rPr>
        <w:t>2</w:t>
      </w:r>
      <w:r>
        <w:rPr>
          <w:rFonts w:hint="eastAsia" w:ascii="Calibri" w:hAnsi="Calibri"/>
          <w:color w:val="auto"/>
          <w:sz w:val="28"/>
          <w:szCs w:val="28"/>
          <w:highlight w:val="none"/>
        </w:rPr>
        <w:t>）乙方董事、监事、总经理、副总经理、财务总监、总工程师等高级管理人员确定或发生人员变更；</w:t>
      </w:r>
      <w:r>
        <w:rPr>
          <w:rFonts w:ascii="Calibri" w:eastAsia="Calibri"/>
          <w:color w:val="auto"/>
          <w:sz w:val="28"/>
          <w:szCs w:val="28"/>
          <w:highlight w:val="none"/>
        </w:rPr>
        <w:br w:type="textWrapping"/>
      </w:r>
      <w:r>
        <w:rPr>
          <w:rFonts w:hint="eastAsia" w:ascii="Calibri" w:hAnsi="Calibri"/>
          <w:color w:val="auto"/>
          <w:sz w:val="28"/>
          <w:szCs w:val="28"/>
          <w:highlight w:val="none"/>
        </w:rPr>
        <w:t>　</w:t>
      </w:r>
      <w:r>
        <w:rPr>
          <w:rFonts w:hint="eastAsia" w:ascii="Calibri" w:hAnsi="Calibri"/>
          <w:color w:val="auto"/>
          <w:sz w:val="28"/>
          <w:szCs w:val="28"/>
          <w:highlight w:val="none"/>
          <w:lang w:val="en-US" w:eastAsia="zh-CN"/>
        </w:rPr>
        <w:t xml:space="preserve"> </w:t>
      </w:r>
      <w:r>
        <w:rPr>
          <w:rFonts w:hint="eastAsia" w:ascii="Calibri" w:hAnsi="Calibri"/>
          <w:color w:val="auto"/>
          <w:sz w:val="28"/>
          <w:szCs w:val="28"/>
          <w:highlight w:val="none"/>
        </w:rPr>
        <w:t>（</w:t>
      </w:r>
      <w:r>
        <w:rPr>
          <w:rFonts w:ascii="Calibri" w:hAnsi="Calibri"/>
          <w:color w:val="auto"/>
          <w:sz w:val="28"/>
          <w:szCs w:val="28"/>
          <w:highlight w:val="none"/>
        </w:rPr>
        <w:t>3</w:t>
      </w:r>
      <w:r>
        <w:rPr>
          <w:rFonts w:hint="eastAsia" w:ascii="Calibri" w:hAnsi="Calibri"/>
          <w:color w:val="auto"/>
          <w:sz w:val="28"/>
          <w:szCs w:val="28"/>
          <w:highlight w:val="none"/>
        </w:rPr>
        <w:t>）乙方的股东或股权结构发生变化；</w:t>
      </w:r>
      <w:r>
        <w:rPr>
          <w:rFonts w:ascii="Calibri" w:eastAsia="Calibri"/>
          <w:color w:val="auto"/>
          <w:sz w:val="28"/>
          <w:szCs w:val="28"/>
          <w:highlight w:val="none"/>
        </w:rPr>
        <w:br w:type="textWrapping"/>
      </w:r>
      <w:r>
        <w:rPr>
          <w:rFonts w:hint="eastAsia" w:ascii="Calibri" w:hAnsi="Calibri"/>
          <w:color w:val="auto"/>
          <w:sz w:val="28"/>
          <w:szCs w:val="28"/>
          <w:highlight w:val="none"/>
        </w:rPr>
        <w:t>　</w:t>
      </w:r>
      <w:r>
        <w:rPr>
          <w:rFonts w:hint="eastAsia" w:ascii="Calibri" w:hAnsi="Calibri"/>
          <w:color w:val="auto"/>
          <w:sz w:val="28"/>
          <w:szCs w:val="28"/>
          <w:highlight w:val="none"/>
          <w:lang w:val="en-US" w:eastAsia="zh-CN"/>
        </w:rPr>
        <w:t xml:space="preserve"> </w:t>
      </w:r>
      <w:r>
        <w:rPr>
          <w:rFonts w:hint="eastAsia" w:ascii="Calibri" w:hAnsi="Calibri"/>
          <w:color w:val="auto"/>
          <w:sz w:val="28"/>
          <w:szCs w:val="28"/>
          <w:highlight w:val="none"/>
        </w:rPr>
        <w:t>（</w:t>
      </w:r>
      <w:r>
        <w:rPr>
          <w:rFonts w:ascii="Calibri" w:hAnsi="Calibri"/>
          <w:color w:val="auto"/>
          <w:sz w:val="28"/>
          <w:szCs w:val="28"/>
          <w:highlight w:val="none"/>
        </w:rPr>
        <w:t>4</w:t>
      </w:r>
      <w:r>
        <w:rPr>
          <w:rFonts w:hint="eastAsia" w:ascii="Calibri" w:hAnsi="Calibri"/>
          <w:color w:val="auto"/>
          <w:sz w:val="28"/>
          <w:szCs w:val="28"/>
          <w:highlight w:val="none"/>
        </w:rPr>
        <w:t>）乙方董事会、监事会作出的有关特许经营业务的决议；</w:t>
      </w:r>
      <w:r>
        <w:rPr>
          <w:rFonts w:ascii="Calibri" w:eastAsia="Calibri"/>
          <w:color w:val="auto"/>
          <w:sz w:val="28"/>
          <w:szCs w:val="28"/>
          <w:highlight w:val="none"/>
        </w:rPr>
        <w:br w:type="textWrapping"/>
      </w:r>
      <w:r>
        <w:rPr>
          <w:rFonts w:hint="eastAsia" w:ascii="Calibri" w:hAnsi="Calibri"/>
          <w:color w:val="auto"/>
          <w:sz w:val="28"/>
          <w:szCs w:val="28"/>
          <w:highlight w:val="none"/>
        </w:rPr>
        <w:t>　　（</w:t>
      </w:r>
      <w:r>
        <w:rPr>
          <w:rFonts w:ascii="Calibri" w:hAnsi="Calibri"/>
          <w:color w:val="auto"/>
          <w:sz w:val="28"/>
          <w:szCs w:val="28"/>
          <w:highlight w:val="none"/>
        </w:rPr>
        <w:t>5</w:t>
      </w:r>
      <w:r>
        <w:rPr>
          <w:rFonts w:hint="eastAsia" w:ascii="Calibri" w:hAnsi="Calibri"/>
          <w:color w:val="auto"/>
          <w:sz w:val="28"/>
          <w:szCs w:val="28"/>
          <w:highlight w:val="none"/>
        </w:rPr>
        <w:t>）乙方签署可能对公司特许经营业务有重大影响的合同、协议或意向书；</w:t>
      </w:r>
      <w:r>
        <w:rPr>
          <w:rFonts w:ascii="Calibri" w:eastAsia="Calibri"/>
          <w:color w:val="auto"/>
          <w:sz w:val="28"/>
          <w:szCs w:val="28"/>
          <w:highlight w:val="none"/>
        </w:rPr>
        <w:br w:type="textWrapping"/>
      </w:r>
      <w:r>
        <w:rPr>
          <w:rFonts w:hint="eastAsia" w:ascii="Calibri" w:hAnsi="Calibri"/>
          <w:color w:val="auto"/>
          <w:sz w:val="28"/>
          <w:szCs w:val="28"/>
          <w:highlight w:val="none"/>
        </w:rPr>
        <w:t>　　（</w:t>
      </w:r>
      <w:r>
        <w:rPr>
          <w:rFonts w:ascii="Calibri" w:hAnsi="Calibri"/>
          <w:color w:val="auto"/>
          <w:sz w:val="28"/>
          <w:szCs w:val="28"/>
          <w:highlight w:val="none"/>
        </w:rPr>
        <w:t>6</w:t>
      </w:r>
      <w:r>
        <w:rPr>
          <w:rFonts w:hint="eastAsia" w:ascii="Calibri" w:hAnsi="Calibri"/>
          <w:color w:val="auto"/>
          <w:sz w:val="28"/>
          <w:szCs w:val="28"/>
          <w:highlight w:val="none"/>
        </w:rPr>
        <w:t>）发生影响燃气价格、安全、技术、质量、服务的重大事项；</w:t>
      </w:r>
      <w:r>
        <w:rPr>
          <w:rFonts w:ascii="Calibri" w:eastAsia="Calibri"/>
          <w:color w:val="auto"/>
          <w:sz w:val="28"/>
          <w:szCs w:val="28"/>
          <w:highlight w:val="none"/>
        </w:rPr>
        <w:br w:type="textWrapping"/>
      </w:r>
      <w:r>
        <w:rPr>
          <w:rFonts w:hint="eastAsia" w:ascii="Calibri" w:hAnsi="Calibri"/>
          <w:color w:val="auto"/>
          <w:sz w:val="28"/>
          <w:szCs w:val="28"/>
          <w:highlight w:val="none"/>
        </w:rPr>
        <w:t>　　（</w:t>
      </w:r>
      <w:r>
        <w:rPr>
          <w:rFonts w:ascii="Calibri" w:hAnsi="Calibri"/>
          <w:color w:val="auto"/>
          <w:sz w:val="28"/>
          <w:szCs w:val="28"/>
          <w:highlight w:val="none"/>
        </w:rPr>
        <w:t>7</w:t>
      </w:r>
      <w:r>
        <w:rPr>
          <w:rFonts w:hint="eastAsia" w:ascii="Calibri" w:hAnsi="Calibri"/>
          <w:color w:val="auto"/>
          <w:sz w:val="28"/>
          <w:szCs w:val="28"/>
          <w:highlight w:val="none"/>
        </w:rPr>
        <w:t>）其他对公司特许经营业务有重大影响的事项。</w:t>
      </w:r>
    </w:p>
    <w:p>
      <w:pPr>
        <w:spacing w:line="360" w:lineRule="auto"/>
        <w:rPr>
          <w:rFonts w:ascii="Calibri" w:hAnsi="Calibri"/>
          <w:color w:val="auto"/>
          <w:sz w:val="28"/>
          <w:szCs w:val="28"/>
          <w:highlight w:val="none"/>
        </w:rPr>
      </w:pPr>
      <w:r>
        <w:rPr>
          <w:rFonts w:hint="eastAsia" w:ascii="Calibri" w:hAnsi="Calibri"/>
          <w:b/>
          <w:color w:val="auto"/>
          <w:sz w:val="28"/>
          <w:szCs w:val="28"/>
          <w:highlight w:val="none"/>
        </w:rPr>
        <w:t>第十章　违约</w:t>
      </w:r>
      <w:r>
        <w:rPr>
          <w:rFonts w:ascii="Calibri" w:eastAsia="Calibri"/>
          <w:color w:val="auto"/>
          <w:sz w:val="28"/>
          <w:szCs w:val="28"/>
          <w:highlight w:val="none"/>
        </w:rPr>
        <w:br w:type="textWrapping"/>
      </w:r>
      <w:r>
        <w:rPr>
          <w:rFonts w:ascii="Calibri" w:hAnsi="Calibri"/>
          <w:b/>
          <w:color w:val="auto"/>
          <w:sz w:val="28"/>
          <w:szCs w:val="28"/>
          <w:highlight w:val="none"/>
        </w:rPr>
        <w:t>10</w:t>
      </w:r>
      <w:r>
        <w:rPr>
          <w:rFonts w:hint="eastAsia" w:ascii="Calibri" w:hAnsi="Calibri"/>
          <w:b/>
          <w:color w:val="auto"/>
          <w:sz w:val="28"/>
          <w:szCs w:val="28"/>
          <w:highlight w:val="none"/>
        </w:rPr>
        <w:t>．</w:t>
      </w:r>
      <w:r>
        <w:rPr>
          <w:rFonts w:ascii="Calibri" w:hAnsi="Calibri"/>
          <w:b/>
          <w:color w:val="auto"/>
          <w:sz w:val="28"/>
          <w:szCs w:val="28"/>
          <w:highlight w:val="none"/>
        </w:rPr>
        <w:t>1</w:t>
      </w:r>
      <w:r>
        <w:rPr>
          <w:rFonts w:hint="eastAsia" w:ascii="Calibri" w:hAnsi="Calibri"/>
          <w:b/>
          <w:color w:val="auto"/>
          <w:sz w:val="28"/>
          <w:szCs w:val="28"/>
          <w:highlight w:val="none"/>
        </w:rPr>
        <w:t>　赔偿责任</w:t>
      </w:r>
      <w:r>
        <w:rPr>
          <w:rFonts w:ascii="Calibri" w:eastAsia="Calibri"/>
          <w:color w:val="auto"/>
          <w:sz w:val="28"/>
          <w:szCs w:val="28"/>
          <w:highlight w:val="none"/>
        </w:rPr>
        <w:br w:type="textWrapping"/>
      </w:r>
      <w:r>
        <w:rPr>
          <w:rFonts w:hint="eastAsia" w:ascii="Calibri" w:hAnsi="Calibri"/>
          <w:color w:val="auto"/>
          <w:sz w:val="28"/>
          <w:szCs w:val="28"/>
          <w:highlight w:val="none"/>
        </w:rPr>
        <w:t>协议任何一方违反本协议的任一约定的行为，均为违约。违约方承担赔偿责任，包括非违约方因违约方的违约行为导致的向第三方支付的赔偿。</w:t>
      </w:r>
      <w:r>
        <w:rPr>
          <w:rFonts w:ascii="Calibri" w:eastAsia="Calibri"/>
          <w:color w:val="auto"/>
          <w:sz w:val="28"/>
          <w:szCs w:val="28"/>
          <w:highlight w:val="none"/>
        </w:rPr>
        <w:br w:type="textWrapping"/>
      </w:r>
      <w:r>
        <w:rPr>
          <w:rFonts w:hint="eastAsia" w:ascii="Calibri" w:hAnsi="Calibri"/>
          <w:color w:val="auto"/>
          <w:sz w:val="28"/>
          <w:szCs w:val="28"/>
          <w:highlight w:val="none"/>
        </w:rPr>
        <w:t>　　非违约方应当最大程度地减少因违约方违约引起的损失。</w:t>
      </w:r>
    </w:p>
    <w:p>
      <w:pPr>
        <w:spacing w:line="360" w:lineRule="auto"/>
        <w:rPr>
          <w:rFonts w:ascii="Calibri" w:hAnsi="Calibri"/>
          <w:color w:val="auto"/>
          <w:sz w:val="28"/>
          <w:szCs w:val="28"/>
          <w:highlight w:val="none"/>
        </w:rPr>
      </w:pPr>
      <w:r>
        <w:rPr>
          <w:rFonts w:hint="eastAsia" w:ascii="Calibri" w:hAnsi="Calibri"/>
          <w:color w:val="auto"/>
          <w:sz w:val="28"/>
          <w:szCs w:val="28"/>
          <w:highlight w:val="none"/>
        </w:rPr>
        <w:t>如部分损失是由于非违约方作为或不作为造成的，则应从获赔金额中扣除因此而造成的损失。</w:t>
      </w:r>
      <w:r>
        <w:rPr>
          <w:rFonts w:ascii="Calibri" w:eastAsia="Calibri"/>
          <w:color w:val="auto"/>
          <w:sz w:val="28"/>
          <w:szCs w:val="28"/>
          <w:highlight w:val="none"/>
        </w:rPr>
        <w:br w:type="textWrapping"/>
      </w:r>
      <w:r>
        <w:rPr>
          <w:rFonts w:ascii="Calibri" w:hAnsi="Calibri"/>
          <w:b/>
          <w:color w:val="auto"/>
          <w:sz w:val="28"/>
          <w:szCs w:val="28"/>
          <w:highlight w:val="none"/>
        </w:rPr>
        <w:t>10</w:t>
      </w:r>
      <w:r>
        <w:rPr>
          <w:rFonts w:hint="eastAsia" w:ascii="Calibri" w:hAnsi="Calibri"/>
          <w:b/>
          <w:color w:val="auto"/>
          <w:sz w:val="28"/>
          <w:szCs w:val="28"/>
          <w:highlight w:val="none"/>
        </w:rPr>
        <w:t>．</w:t>
      </w:r>
      <w:r>
        <w:rPr>
          <w:rFonts w:ascii="Calibri" w:hAnsi="Calibri"/>
          <w:b/>
          <w:color w:val="auto"/>
          <w:sz w:val="28"/>
          <w:szCs w:val="28"/>
          <w:highlight w:val="none"/>
        </w:rPr>
        <w:t>2</w:t>
      </w:r>
      <w:r>
        <w:rPr>
          <w:rFonts w:hint="eastAsia" w:ascii="Calibri" w:hAnsi="Calibri"/>
          <w:b/>
          <w:color w:val="auto"/>
          <w:sz w:val="28"/>
          <w:szCs w:val="28"/>
          <w:highlight w:val="none"/>
        </w:rPr>
        <w:t>　提前告知</w:t>
      </w:r>
      <w:r>
        <w:rPr>
          <w:rFonts w:ascii="Calibri" w:eastAsia="Calibri"/>
          <w:color w:val="auto"/>
          <w:sz w:val="28"/>
          <w:szCs w:val="28"/>
          <w:highlight w:val="none"/>
        </w:rPr>
        <w:br w:type="textWrapping"/>
      </w:r>
      <w:r>
        <w:rPr>
          <w:rFonts w:hint="eastAsia" w:ascii="Calibri" w:hAnsi="Calibri"/>
          <w:color w:val="auto"/>
          <w:sz w:val="28"/>
          <w:szCs w:val="28"/>
          <w:highlight w:val="none"/>
        </w:rPr>
        <w:t>　　乙方在知道或应该知道自己不再具备履行本协议能力时，应提前以书面形式向甲方告知自己真实情形，并协助甲方执行临时接管预案。乙方未及时通知甲方，造成损失或重大社会影响的，乙方应承担相应法律责任。</w:t>
      </w:r>
      <w:r>
        <w:rPr>
          <w:rFonts w:ascii="Calibri" w:eastAsia="Calibri"/>
          <w:color w:val="auto"/>
          <w:sz w:val="28"/>
          <w:szCs w:val="28"/>
          <w:highlight w:val="none"/>
        </w:rPr>
        <w:br w:type="textWrapping"/>
      </w:r>
      <w:r>
        <w:rPr>
          <w:rFonts w:ascii="Calibri" w:hAnsi="Calibri"/>
          <w:b/>
          <w:color w:val="auto"/>
          <w:sz w:val="28"/>
          <w:szCs w:val="28"/>
          <w:highlight w:val="none"/>
        </w:rPr>
        <w:t>10</w:t>
      </w:r>
      <w:r>
        <w:rPr>
          <w:rFonts w:hint="eastAsia" w:ascii="Calibri" w:hAnsi="Calibri"/>
          <w:b/>
          <w:color w:val="auto"/>
          <w:sz w:val="28"/>
          <w:szCs w:val="28"/>
          <w:highlight w:val="none"/>
        </w:rPr>
        <w:t>．</w:t>
      </w:r>
      <w:r>
        <w:rPr>
          <w:rFonts w:ascii="Calibri" w:hAnsi="Calibri"/>
          <w:b/>
          <w:color w:val="auto"/>
          <w:sz w:val="28"/>
          <w:szCs w:val="28"/>
          <w:highlight w:val="none"/>
        </w:rPr>
        <w:t>3</w:t>
      </w:r>
      <w:r>
        <w:rPr>
          <w:rFonts w:hint="eastAsia" w:ascii="Calibri" w:hAnsi="Calibri"/>
          <w:b/>
          <w:color w:val="auto"/>
          <w:sz w:val="28"/>
          <w:szCs w:val="28"/>
          <w:highlight w:val="none"/>
        </w:rPr>
        <w:t>　合理补救</w:t>
      </w:r>
      <w:r>
        <w:rPr>
          <w:rFonts w:ascii="Calibri" w:eastAsia="Calibri"/>
          <w:color w:val="auto"/>
          <w:sz w:val="28"/>
          <w:szCs w:val="28"/>
          <w:highlight w:val="none"/>
        </w:rPr>
        <w:br w:type="textWrapping"/>
      </w:r>
      <w:r>
        <w:rPr>
          <w:rFonts w:hint="eastAsia" w:ascii="Calibri" w:hAnsi="Calibri"/>
          <w:color w:val="auto"/>
          <w:sz w:val="28"/>
          <w:szCs w:val="28"/>
          <w:highlight w:val="none"/>
        </w:rPr>
        <w:t>　　甲方认为乙方有致使其特许经营权被取消的行为时，应以书面形式向乙方告知，并应给予书面告知日后</w:t>
      </w:r>
      <w:r>
        <w:rPr>
          <w:rFonts w:ascii="Calibri" w:hAnsi="Calibri"/>
          <w:color w:val="auto"/>
          <w:sz w:val="28"/>
          <w:szCs w:val="28"/>
          <w:highlight w:val="none"/>
        </w:rPr>
        <w:t>180</w:t>
      </w:r>
      <w:r>
        <w:rPr>
          <w:rFonts w:hint="eastAsia" w:ascii="Calibri" w:hAnsi="Calibri"/>
          <w:color w:val="auto"/>
          <w:sz w:val="28"/>
          <w:szCs w:val="28"/>
          <w:highlight w:val="none"/>
        </w:rPr>
        <w:t>日的补救期。乙方应在补救期内完成纠正或消除特许经营障碍，或在该期内对甲方的告知提出异议。甲方应于接到异议后</w:t>
      </w:r>
      <w:r>
        <w:rPr>
          <w:rFonts w:ascii="Calibri" w:hAnsi="Calibri"/>
          <w:color w:val="auto"/>
          <w:sz w:val="28"/>
          <w:szCs w:val="28"/>
          <w:highlight w:val="none"/>
        </w:rPr>
        <w:t>60</w:t>
      </w:r>
      <w:r>
        <w:rPr>
          <w:rFonts w:hint="eastAsia" w:ascii="Calibri" w:hAnsi="Calibri"/>
          <w:color w:val="auto"/>
          <w:sz w:val="28"/>
          <w:szCs w:val="28"/>
          <w:highlight w:val="none"/>
        </w:rPr>
        <w:t>日内重新核实情况，并做出取消或不取消决定。</w:t>
      </w:r>
      <w:r>
        <w:rPr>
          <w:rFonts w:ascii="Calibri" w:eastAsia="Calibri"/>
          <w:color w:val="auto"/>
          <w:sz w:val="28"/>
          <w:szCs w:val="28"/>
          <w:highlight w:val="none"/>
        </w:rPr>
        <w:br w:type="textWrapping"/>
      </w:r>
      <w:r>
        <w:rPr>
          <w:rFonts w:hint="eastAsia" w:ascii="Calibri" w:hAnsi="Calibri"/>
          <w:b/>
          <w:color w:val="auto"/>
          <w:sz w:val="28"/>
          <w:szCs w:val="28"/>
          <w:highlight w:val="none"/>
        </w:rPr>
        <w:t>第十一章　不可抗力</w:t>
      </w:r>
      <w:r>
        <w:rPr>
          <w:rFonts w:ascii="Calibri" w:eastAsia="Calibri"/>
          <w:color w:val="auto"/>
          <w:sz w:val="28"/>
          <w:szCs w:val="28"/>
          <w:highlight w:val="none"/>
        </w:rPr>
        <w:br w:type="textWrapping"/>
      </w:r>
      <w:r>
        <w:rPr>
          <w:rFonts w:ascii="Calibri" w:hAnsi="Calibri"/>
          <w:b/>
          <w:color w:val="auto"/>
          <w:sz w:val="28"/>
          <w:szCs w:val="28"/>
          <w:highlight w:val="none"/>
        </w:rPr>
        <w:t>11</w:t>
      </w:r>
      <w:r>
        <w:rPr>
          <w:rFonts w:hint="eastAsia" w:ascii="Calibri" w:hAnsi="Calibri"/>
          <w:b/>
          <w:color w:val="auto"/>
          <w:sz w:val="28"/>
          <w:szCs w:val="28"/>
          <w:highlight w:val="none"/>
        </w:rPr>
        <w:t>．</w:t>
      </w:r>
      <w:r>
        <w:rPr>
          <w:rFonts w:ascii="Calibri" w:hAnsi="Calibri"/>
          <w:b/>
          <w:color w:val="auto"/>
          <w:sz w:val="28"/>
          <w:szCs w:val="28"/>
          <w:highlight w:val="none"/>
        </w:rPr>
        <w:t>1</w:t>
      </w:r>
      <w:r>
        <w:rPr>
          <w:rFonts w:hint="eastAsia" w:ascii="Calibri" w:hAnsi="Calibri"/>
          <w:b/>
          <w:color w:val="auto"/>
          <w:sz w:val="28"/>
          <w:szCs w:val="28"/>
          <w:highlight w:val="none"/>
        </w:rPr>
        <w:t>　不可抗力免责</w:t>
      </w:r>
      <w:r>
        <w:rPr>
          <w:rFonts w:ascii="Calibri" w:eastAsia="Calibri"/>
          <w:color w:val="auto"/>
          <w:sz w:val="28"/>
          <w:szCs w:val="28"/>
          <w:highlight w:val="none"/>
        </w:rPr>
        <w:br w:type="textWrapping"/>
      </w:r>
      <w:r>
        <w:rPr>
          <w:rFonts w:hint="eastAsia" w:ascii="Calibri" w:hAnsi="Calibri"/>
          <w:color w:val="auto"/>
          <w:sz w:val="28"/>
          <w:szCs w:val="28"/>
          <w:highlight w:val="none"/>
        </w:rPr>
        <w:t>　　由于不可抗力事件不能全部或部分履行其义务时，任何一方可中止履行其在本协议项下的义务（在不可抗力事件发生前已发生的应付未付义务除外）。</w:t>
      </w:r>
      <w:r>
        <w:rPr>
          <w:rFonts w:ascii="Calibri" w:eastAsia="Calibri"/>
          <w:color w:val="auto"/>
          <w:sz w:val="28"/>
          <w:szCs w:val="28"/>
          <w:highlight w:val="none"/>
        </w:rPr>
        <w:br w:type="textWrapping"/>
      </w:r>
      <w:r>
        <w:rPr>
          <w:rFonts w:hint="eastAsia" w:ascii="Calibri" w:hAnsi="Calibri"/>
          <w:color w:val="auto"/>
          <w:sz w:val="28"/>
          <w:szCs w:val="28"/>
          <w:highlight w:val="none"/>
        </w:rPr>
        <w:t>　　如果甲方或乙方按照上款中止履行义务，其必须在不可抗力事件结束后尽快恢复履行这些义务。</w:t>
      </w:r>
      <w:r>
        <w:rPr>
          <w:rFonts w:ascii="Calibri" w:eastAsia="Calibri"/>
          <w:color w:val="auto"/>
          <w:sz w:val="28"/>
          <w:szCs w:val="28"/>
          <w:highlight w:val="none"/>
        </w:rPr>
        <w:br w:type="textWrapping"/>
      </w:r>
      <w:r>
        <w:rPr>
          <w:rFonts w:ascii="Calibri" w:hAnsi="Calibri"/>
          <w:b/>
          <w:color w:val="auto"/>
          <w:sz w:val="28"/>
          <w:szCs w:val="28"/>
          <w:highlight w:val="none"/>
        </w:rPr>
        <w:t>11</w:t>
      </w:r>
      <w:r>
        <w:rPr>
          <w:rFonts w:hint="eastAsia" w:ascii="Calibri" w:hAnsi="Calibri"/>
          <w:b/>
          <w:color w:val="auto"/>
          <w:sz w:val="28"/>
          <w:szCs w:val="28"/>
          <w:highlight w:val="none"/>
        </w:rPr>
        <w:t>．</w:t>
      </w:r>
      <w:r>
        <w:rPr>
          <w:rFonts w:ascii="Calibri" w:hAnsi="Calibri"/>
          <w:b/>
          <w:color w:val="auto"/>
          <w:sz w:val="28"/>
          <w:szCs w:val="28"/>
          <w:highlight w:val="none"/>
        </w:rPr>
        <w:t>2</w:t>
      </w:r>
      <w:r>
        <w:rPr>
          <w:rFonts w:hint="eastAsia" w:ascii="Calibri" w:hAnsi="Calibri"/>
          <w:b/>
          <w:color w:val="auto"/>
          <w:sz w:val="28"/>
          <w:szCs w:val="28"/>
          <w:highlight w:val="none"/>
        </w:rPr>
        <w:t>提出不可抗力一方的义务</w:t>
      </w:r>
      <w:r>
        <w:rPr>
          <w:rFonts w:ascii="Calibri" w:eastAsia="Calibri"/>
          <w:color w:val="auto"/>
          <w:sz w:val="28"/>
          <w:szCs w:val="28"/>
          <w:highlight w:val="none"/>
        </w:rPr>
        <w:br w:type="textWrapping"/>
      </w:r>
      <w:r>
        <w:rPr>
          <w:rFonts w:hint="eastAsia" w:ascii="Calibri" w:hAnsi="Calibri"/>
          <w:color w:val="auto"/>
          <w:sz w:val="28"/>
          <w:szCs w:val="28"/>
          <w:highlight w:val="none"/>
        </w:rPr>
        <w:t>　　声称受到不可抗力的一方必须在知道不可抗力事件发生之后尽可能立即书面通知另一方，并详细描述有关不可抗力事件或法律变更的发生和可能对该方履行在本协议义务产生的影响和预计影响结束的时间。同时提供另一方可能合理要求的任何其他信息。发生不可抗力事件时，任何一方必须各自承担由于不可抗力事件造成的支出和费用。</w:t>
      </w:r>
    </w:p>
    <w:p>
      <w:pPr>
        <w:spacing w:line="360" w:lineRule="auto"/>
        <w:rPr>
          <w:color w:val="auto"/>
          <w:sz w:val="28"/>
          <w:szCs w:val="28"/>
          <w:highlight w:val="none"/>
        </w:rPr>
      </w:pPr>
      <w:r>
        <w:rPr>
          <w:rFonts w:hint="eastAsia" w:ascii="Calibri" w:hAnsi="Calibri"/>
          <w:color w:val="auto"/>
          <w:sz w:val="28"/>
          <w:szCs w:val="28"/>
          <w:highlight w:val="none"/>
          <w:lang w:val="en-US" w:eastAsia="zh-CN"/>
        </w:rPr>
        <w:t xml:space="preserve">    </w:t>
      </w:r>
      <w:r>
        <w:rPr>
          <w:rFonts w:hint="eastAsia" w:ascii="Calibri" w:hAnsi="Calibri"/>
          <w:color w:val="auto"/>
          <w:sz w:val="28"/>
          <w:szCs w:val="28"/>
          <w:highlight w:val="none"/>
        </w:rPr>
        <w:t>声称受到不可抗力的一方应在任何时候采取合理的行动，以避免或尽量减少不可抗力事件的影响。</w:t>
      </w:r>
      <w:r>
        <w:rPr>
          <w:rFonts w:ascii="Calibri" w:eastAsia="Calibri"/>
          <w:color w:val="auto"/>
          <w:sz w:val="28"/>
          <w:szCs w:val="28"/>
          <w:highlight w:val="none"/>
        </w:rPr>
        <w:br w:type="textWrapping"/>
      </w:r>
      <w:r>
        <w:rPr>
          <w:rFonts w:hint="eastAsia" w:ascii="Calibri" w:hAnsi="Calibri"/>
          <w:b/>
          <w:color w:val="auto"/>
          <w:sz w:val="28"/>
          <w:szCs w:val="28"/>
          <w:highlight w:val="none"/>
        </w:rPr>
        <w:t>第十二章　争议解决</w:t>
      </w:r>
      <w:r>
        <w:rPr>
          <w:rFonts w:ascii="Calibri" w:eastAsia="Calibri"/>
          <w:color w:val="auto"/>
          <w:sz w:val="28"/>
          <w:szCs w:val="28"/>
          <w:highlight w:val="none"/>
        </w:rPr>
        <w:br w:type="textWrapping"/>
      </w:r>
      <w:r>
        <w:rPr>
          <w:rFonts w:ascii="Calibri" w:hAnsi="Calibri"/>
          <w:b/>
          <w:color w:val="auto"/>
          <w:sz w:val="28"/>
          <w:szCs w:val="28"/>
          <w:highlight w:val="none"/>
        </w:rPr>
        <w:t>12</w:t>
      </w:r>
      <w:r>
        <w:rPr>
          <w:rFonts w:hint="eastAsia" w:ascii="Calibri" w:hAnsi="Calibri"/>
          <w:b/>
          <w:color w:val="auto"/>
          <w:sz w:val="28"/>
          <w:szCs w:val="28"/>
          <w:highlight w:val="none"/>
        </w:rPr>
        <w:t>．</w:t>
      </w:r>
      <w:r>
        <w:rPr>
          <w:rFonts w:ascii="Calibri" w:hAnsi="Calibri"/>
          <w:b/>
          <w:color w:val="auto"/>
          <w:sz w:val="28"/>
          <w:szCs w:val="28"/>
          <w:highlight w:val="none"/>
        </w:rPr>
        <w:t>1</w:t>
      </w:r>
      <w:r>
        <w:rPr>
          <w:rFonts w:hint="eastAsia" w:ascii="Calibri" w:hAnsi="Calibri"/>
          <w:b/>
          <w:color w:val="auto"/>
          <w:sz w:val="28"/>
          <w:szCs w:val="28"/>
          <w:highlight w:val="none"/>
        </w:rPr>
        <w:t>　协商解决争议</w:t>
      </w:r>
      <w:r>
        <w:rPr>
          <w:rFonts w:ascii="Calibri" w:eastAsia="Calibri"/>
          <w:color w:val="auto"/>
          <w:sz w:val="28"/>
          <w:szCs w:val="28"/>
          <w:highlight w:val="none"/>
        </w:rPr>
        <w:br w:type="textWrapping"/>
      </w:r>
      <w:r>
        <w:rPr>
          <w:rFonts w:hint="eastAsia" w:ascii="Calibri" w:hAnsi="Calibri"/>
          <w:color w:val="auto"/>
          <w:sz w:val="28"/>
          <w:szCs w:val="28"/>
          <w:highlight w:val="none"/>
        </w:rPr>
        <w:t>　　若双方由于履行本协议而产生的任何争议、分歧或索赔，都应尽力通过协商解决。</w:t>
      </w:r>
      <w:r>
        <w:rPr>
          <w:rFonts w:ascii="Calibri" w:eastAsia="Calibri"/>
          <w:color w:val="auto"/>
          <w:sz w:val="28"/>
          <w:szCs w:val="28"/>
          <w:highlight w:val="none"/>
        </w:rPr>
        <w:br w:type="textWrapping"/>
      </w:r>
      <w:r>
        <w:rPr>
          <w:rFonts w:ascii="Calibri" w:hAnsi="Calibri"/>
          <w:b/>
          <w:color w:val="auto"/>
          <w:sz w:val="28"/>
          <w:szCs w:val="28"/>
          <w:highlight w:val="none"/>
        </w:rPr>
        <w:t>12</w:t>
      </w:r>
      <w:r>
        <w:rPr>
          <w:rFonts w:hint="eastAsia" w:ascii="Calibri" w:hAnsi="Calibri"/>
          <w:b/>
          <w:color w:val="auto"/>
          <w:sz w:val="28"/>
          <w:szCs w:val="28"/>
          <w:highlight w:val="none"/>
        </w:rPr>
        <w:t>．</w:t>
      </w:r>
      <w:r>
        <w:rPr>
          <w:rFonts w:ascii="Calibri" w:hAnsi="Calibri"/>
          <w:b/>
          <w:color w:val="auto"/>
          <w:sz w:val="28"/>
          <w:szCs w:val="28"/>
          <w:highlight w:val="none"/>
        </w:rPr>
        <w:t>2</w:t>
      </w:r>
      <w:r>
        <w:rPr>
          <w:rFonts w:hint="eastAsia" w:ascii="Calibri" w:hAnsi="Calibri"/>
          <w:b/>
          <w:color w:val="auto"/>
          <w:sz w:val="28"/>
          <w:szCs w:val="28"/>
          <w:highlight w:val="none"/>
        </w:rPr>
        <w:t>　仲裁</w:t>
      </w:r>
      <w:r>
        <w:rPr>
          <w:rFonts w:ascii="Calibri" w:eastAsia="Calibri"/>
          <w:color w:val="auto"/>
          <w:sz w:val="28"/>
          <w:szCs w:val="28"/>
          <w:highlight w:val="none"/>
        </w:rPr>
        <w:br w:type="textWrapping"/>
      </w:r>
      <w:r>
        <w:rPr>
          <w:rFonts w:hint="eastAsia" w:ascii="Calibri" w:hAnsi="Calibri"/>
          <w:color w:val="auto"/>
          <w:sz w:val="28"/>
          <w:szCs w:val="28"/>
          <w:highlight w:val="none"/>
        </w:rPr>
        <w:t>　　若甲乙双方不能通过协商解决争议，任何一方可将该争议提交</w:t>
      </w:r>
      <w:r>
        <w:rPr>
          <w:rFonts w:hint="eastAsia" w:ascii="Calibri" w:hAnsi="Calibri"/>
          <w:color w:val="auto"/>
          <w:sz w:val="28"/>
          <w:szCs w:val="28"/>
          <w:highlight w:val="none"/>
          <w:lang w:val="en-US" w:eastAsia="zh-CN"/>
        </w:rPr>
        <w:t>有管辖权的人民法院提起诉讼</w:t>
      </w:r>
      <w:r>
        <w:rPr>
          <w:rFonts w:hint="eastAsia" w:ascii="Calibri" w:hAnsi="Calibri"/>
          <w:color w:val="auto"/>
          <w:sz w:val="28"/>
          <w:szCs w:val="28"/>
          <w:highlight w:val="none"/>
        </w:rPr>
        <w:t>。</w:t>
      </w:r>
    </w:p>
    <w:p>
      <w:pPr>
        <w:spacing w:line="360" w:lineRule="auto"/>
        <w:rPr>
          <w:rFonts w:ascii="Calibri" w:eastAsia="Calibri"/>
          <w:color w:val="auto"/>
          <w:sz w:val="28"/>
          <w:szCs w:val="28"/>
          <w:highlight w:val="none"/>
        </w:rPr>
      </w:pPr>
      <w:r>
        <w:rPr>
          <w:rFonts w:hint="eastAsia" w:ascii="Calibri" w:hAnsi="Calibri"/>
          <w:b/>
          <w:color w:val="auto"/>
          <w:sz w:val="28"/>
          <w:szCs w:val="28"/>
          <w:highlight w:val="none"/>
        </w:rPr>
        <w:t>第十三章　其他</w:t>
      </w:r>
      <w:r>
        <w:rPr>
          <w:rFonts w:ascii="Calibri" w:eastAsia="Calibri"/>
          <w:color w:val="auto"/>
          <w:sz w:val="28"/>
          <w:szCs w:val="28"/>
          <w:highlight w:val="none"/>
        </w:rPr>
        <w:br w:type="textWrapping"/>
      </w:r>
      <w:r>
        <w:rPr>
          <w:rFonts w:ascii="Calibri" w:hAnsi="Calibri"/>
          <w:b/>
          <w:color w:val="auto"/>
          <w:sz w:val="28"/>
          <w:szCs w:val="28"/>
          <w:highlight w:val="none"/>
        </w:rPr>
        <w:t>13</w:t>
      </w:r>
      <w:r>
        <w:rPr>
          <w:rFonts w:hint="eastAsia" w:ascii="Calibri" w:hAnsi="Calibri"/>
          <w:b/>
          <w:color w:val="auto"/>
          <w:sz w:val="28"/>
          <w:szCs w:val="28"/>
          <w:highlight w:val="none"/>
        </w:rPr>
        <w:t>．</w:t>
      </w:r>
      <w:r>
        <w:rPr>
          <w:rFonts w:ascii="Calibri" w:hAnsi="Calibri"/>
          <w:b/>
          <w:color w:val="auto"/>
          <w:sz w:val="28"/>
          <w:szCs w:val="28"/>
          <w:highlight w:val="none"/>
        </w:rPr>
        <w:t>1</w:t>
      </w:r>
      <w:r>
        <w:rPr>
          <w:rFonts w:hint="eastAsia" w:ascii="Calibri" w:hAnsi="Calibri"/>
          <w:b/>
          <w:color w:val="auto"/>
          <w:sz w:val="28"/>
          <w:szCs w:val="28"/>
          <w:highlight w:val="none"/>
        </w:rPr>
        <w:t>　协议签署及生效</w:t>
      </w:r>
      <w:r>
        <w:rPr>
          <w:rFonts w:ascii="Calibri" w:eastAsia="Calibri"/>
          <w:color w:val="auto"/>
          <w:sz w:val="28"/>
          <w:szCs w:val="28"/>
          <w:highlight w:val="none"/>
        </w:rPr>
        <w:br w:type="textWrapping"/>
      </w:r>
      <w:r>
        <w:rPr>
          <w:rFonts w:hint="eastAsia" w:ascii="Calibri" w:hAnsi="Calibri"/>
          <w:color w:val="auto"/>
          <w:sz w:val="28"/>
          <w:szCs w:val="28"/>
          <w:highlight w:val="none"/>
        </w:rPr>
        <w:t>　　本协议自甲乙双方代表签字并加盖公章之日起生效。</w:t>
      </w:r>
    </w:p>
    <w:p>
      <w:pPr>
        <w:spacing w:line="360" w:lineRule="auto"/>
        <w:rPr>
          <w:rFonts w:ascii="Calibri" w:eastAsia="Calibri"/>
          <w:color w:val="auto"/>
          <w:sz w:val="28"/>
          <w:szCs w:val="28"/>
          <w:highlight w:val="none"/>
        </w:rPr>
      </w:pPr>
      <w:r>
        <w:rPr>
          <w:rFonts w:ascii="Calibri" w:hAnsi="Calibri"/>
          <w:b/>
          <w:color w:val="auto"/>
          <w:sz w:val="28"/>
          <w:szCs w:val="28"/>
          <w:highlight w:val="none"/>
        </w:rPr>
        <w:t>13</w:t>
      </w:r>
      <w:r>
        <w:rPr>
          <w:rFonts w:hint="eastAsia" w:ascii="Calibri" w:hAnsi="Calibri"/>
          <w:b/>
          <w:color w:val="auto"/>
          <w:sz w:val="28"/>
          <w:szCs w:val="28"/>
          <w:highlight w:val="none"/>
        </w:rPr>
        <w:t>．</w:t>
      </w:r>
      <w:r>
        <w:rPr>
          <w:rFonts w:ascii="Calibri" w:hAnsi="Calibri"/>
          <w:b/>
          <w:color w:val="auto"/>
          <w:sz w:val="28"/>
          <w:szCs w:val="28"/>
          <w:highlight w:val="none"/>
        </w:rPr>
        <w:t>2</w:t>
      </w:r>
      <w:r>
        <w:rPr>
          <w:rFonts w:hint="eastAsia" w:ascii="Calibri" w:hAnsi="Calibri"/>
          <w:b/>
          <w:color w:val="auto"/>
          <w:sz w:val="28"/>
          <w:szCs w:val="28"/>
          <w:highlight w:val="none"/>
        </w:rPr>
        <w:t>适用法律及标准语言</w:t>
      </w:r>
      <w:r>
        <w:rPr>
          <w:rFonts w:ascii="Calibri" w:eastAsia="Calibri"/>
          <w:color w:val="auto"/>
          <w:sz w:val="28"/>
          <w:szCs w:val="28"/>
          <w:highlight w:val="none"/>
        </w:rPr>
        <w:br w:type="textWrapping"/>
      </w:r>
      <w:r>
        <w:rPr>
          <w:rFonts w:hint="eastAsia" w:ascii="Calibri" w:hAnsi="Calibri"/>
          <w:color w:val="auto"/>
          <w:sz w:val="28"/>
          <w:szCs w:val="28"/>
          <w:highlight w:val="none"/>
        </w:rPr>
        <w:t>　　本协议采用中文书写。本协议受中华人民共和国法律管辖。</w:t>
      </w:r>
    </w:p>
    <w:p>
      <w:pPr>
        <w:spacing w:line="360" w:lineRule="auto"/>
        <w:rPr>
          <w:rFonts w:ascii="Calibri" w:eastAsia="Calibri"/>
          <w:b/>
          <w:color w:val="auto"/>
          <w:sz w:val="28"/>
          <w:szCs w:val="28"/>
          <w:highlight w:val="none"/>
        </w:rPr>
      </w:pPr>
      <w:r>
        <w:rPr>
          <w:rFonts w:ascii="Calibri" w:hAnsi="Calibri"/>
          <w:b/>
          <w:color w:val="auto"/>
          <w:sz w:val="28"/>
          <w:szCs w:val="28"/>
          <w:highlight w:val="none"/>
        </w:rPr>
        <w:t>13</w:t>
      </w:r>
      <w:r>
        <w:rPr>
          <w:rFonts w:hint="eastAsia" w:ascii="Calibri" w:hAnsi="Calibri"/>
          <w:b/>
          <w:color w:val="auto"/>
          <w:sz w:val="28"/>
          <w:szCs w:val="28"/>
          <w:highlight w:val="none"/>
        </w:rPr>
        <w:t>．</w:t>
      </w:r>
      <w:r>
        <w:rPr>
          <w:rFonts w:ascii="Calibri" w:hAnsi="Calibri"/>
          <w:b/>
          <w:color w:val="auto"/>
          <w:sz w:val="28"/>
          <w:szCs w:val="28"/>
          <w:highlight w:val="none"/>
        </w:rPr>
        <w:t>3</w:t>
      </w:r>
      <w:r>
        <w:rPr>
          <w:rFonts w:hint="eastAsia" w:ascii="Calibri" w:hAnsi="Calibri"/>
          <w:b/>
          <w:color w:val="auto"/>
          <w:sz w:val="28"/>
          <w:szCs w:val="28"/>
          <w:highlight w:val="none"/>
        </w:rPr>
        <w:t>文本</w:t>
      </w:r>
    </w:p>
    <w:p>
      <w:pPr>
        <w:spacing w:line="360" w:lineRule="auto"/>
        <w:ind w:firstLine="700" w:firstLineChars="250"/>
        <w:rPr>
          <w:rFonts w:ascii="Calibri" w:eastAsia="Calibri"/>
          <w:color w:val="auto"/>
          <w:sz w:val="28"/>
          <w:szCs w:val="28"/>
          <w:highlight w:val="none"/>
        </w:rPr>
      </w:pPr>
      <w:r>
        <w:rPr>
          <w:rFonts w:hint="eastAsia" w:ascii="Calibri" w:hAnsi="Calibri"/>
          <w:color w:val="auto"/>
          <w:sz w:val="28"/>
          <w:szCs w:val="28"/>
          <w:highlight w:val="none"/>
        </w:rPr>
        <w:t>本协议一式六份，甲乙双方各执三份，具有同样的法律效力。</w:t>
      </w:r>
    </w:p>
    <w:p>
      <w:pPr>
        <w:spacing w:line="360" w:lineRule="auto"/>
        <w:rPr>
          <w:rFonts w:ascii="Calibri" w:eastAsia="Calibri"/>
          <w:b/>
          <w:color w:val="auto"/>
          <w:sz w:val="28"/>
          <w:szCs w:val="28"/>
          <w:highlight w:val="none"/>
        </w:rPr>
      </w:pPr>
      <w:r>
        <w:rPr>
          <w:rFonts w:ascii="Calibri" w:hAnsi="Calibri"/>
          <w:b/>
          <w:color w:val="auto"/>
          <w:sz w:val="28"/>
          <w:szCs w:val="28"/>
          <w:highlight w:val="none"/>
        </w:rPr>
        <w:t>13</w:t>
      </w:r>
      <w:r>
        <w:rPr>
          <w:rFonts w:hint="eastAsia" w:ascii="Calibri" w:hAnsi="Calibri"/>
          <w:b/>
          <w:color w:val="auto"/>
          <w:sz w:val="28"/>
          <w:szCs w:val="28"/>
          <w:highlight w:val="none"/>
        </w:rPr>
        <w:t>．</w:t>
      </w:r>
      <w:r>
        <w:rPr>
          <w:rFonts w:ascii="Calibri" w:hAnsi="Calibri"/>
          <w:b/>
          <w:color w:val="auto"/>
          <w:sz w:val="28"/>
          <w:szCs w:val="28"/>
          <w:highlight w:val="none"/>
        </w:rPr>
        <w:t xml:space="preserve">4 </w:t>
      </w:r>
      <w:r>
        <w:rPr>
          <w:rFonts w:hint="eastAsia" w:ascii="Calibri" w:hAnsi="Calibri"/>
          <w:b/>
          <w:color w:val="auto"/>
          <w:sz w:val="28"/>
          <w:szCs w:val="28"/>
          <w:highlight w:val="none"/>
        </w:rPr>
        <w:t>特许经营权的自动承接</w:t>
      </w:r>
    </w:p>
    <w:p>
      <w:pPr>
        <w:numPr>
          <w:ilvl w:val="0"/>
          <w:numId w:val="5"/>
        </w:numPr>
        <w:spacing w:line="360" w:lineRule="auto"/>
        <w:ind w:firstLine="480"/>
        <w:rPr>
          <w:rFonts w:ascii="Calibri" w:eastAsia="Calibri"/>
          <w:color w:val="auto"/>
          <w:sz w:val="28"/>
          <w:szCs w:val="28"/>
          <w:highlight w:val="none"/>
        </w:rPr>
      </w:pPr>
      <w:r>
        <w:rPr>
          <w:rFonts w:hint="eastAsia" w:ascii="Calibri" w:hAnsi="Calibri"/>
          <w:color w:val="auto"/>
          <w:sz w:val="28"/>
          <w:szCs w:val="28"/>
          <w:highlight w:val="none"/>
        </w:rPr>
        <w:t>自本协议签署之日起，乙方应及时与阳山县XXXXXXXXX公司在阳山县以合资形式共同投资成立项目公司，并及时向项目公司缴纳注册资本金。项目公司的注册资本为2750万元人民币，其中乙方占项目公司注册资本的70%，阳山县XXXXXXXXX公司占项目公司注册资本的30%。</w:t>
      </w:r>
    </w:p>
    <w:p>
      <w:pPr>
        <w:numPr>
          <w:ilvl w:val="0"/>
          <w:numId w:val="5"/>
        </w:numPr>
        <w:spacing w:line="360" w:lineRule="auto"/>
        <w:ind w:firstLine="480"/>
        <w:rPr>
          <w:rFonts w:ascii="Calibri" w:eastAsia="Calibri"/>
          <w:color w:val="auto"/>
          <w:sz w:val="28"/>
          <w:szCs w:val="28"/>
          <w:highlight w:val="none"/>
        </w:rPr>
      </w:pPr>
      <w:r>
        <w:rPr>
          <w:rFonts w:hint="eastAsia" w:ascii="Calibri" w:eastAsia="宋体"/>
          <w:color w:val="auto"/>
          <w:sz w:val="28"/>
          <w:szCs w:val="28"/>
          <w:highlight w:val="none"/>
        </w:rPr>
        <w:t>在乙方对项目公司出资到位后，项目公司应及时向阳山县人民政府或其指定的单位支付注册资本金的10%作为特许经营权对价。</w:t>
      </w:r>
    </w:p>
    <w:p>
      <w:pPr>
        <w:numPr>
          <w:ilvl w:val="0"/>
          <w:numId w:val="5"/>
        </w:numPr>
        <w:spacing w:line="360" w:lineRule="auto"/>
        <w:ind w:firstLine="480"/>
        <w:rPr>
          <w:rFonts w:ascii="Calibri" w:eastAsia="Calibri"/>
          <w:color w:val="auto"/>
          <w:sz w:val="28"/>
          <w:szCs w:val="28"/>
          <w:highlight w:val="none"/>
        </w:rPr>
      </w:pPr>
      <w:r>
        <w:rPr>
          <w:rFonts w:hint="eastAsia" w:ascii="Calibri" w:hAnsi="Calibri"/>
          <w:color w:val="auto"/>
          <w:sz w:val="28"/>
          <w:szCs w:val="28"/>
          <w:highlight w:val="none"/>
        </w:rPr>
        <w:t>乙方为执行本协议约定的权利与义务，在项目公司成立后（指营业执照颁发之日起），乙方在本协议中的所有权利与义务自动由该项目公司承接，乙方不再享有本协议中的权利和义务。</w:t>
      </w:r>
    </w:p>
    <w:p>
      <w:pPr>
        <w:spacing w:line="360" w:lineRule="auto"/>
        <w:rPr>
          <w:rFonts w:ascii="Calibri" w:eastAsia="Calibri"/>
          <w:b/>
          <w:color w:val="auto"/>
          <w:sz w:val="28"/>
          <w:szCs w:val="28"/>
          <w:highlight w:val="none"/>
        </w:rPr>
      </w:pPr>
      <w:r>
        <w:rPr>
          <w:rFonts w:hint="eastAsia" w:ascii="Calibri" w:hAnsi="Calibri"/>
          <w:b/>
          <w:color w:val="auto"/>
          <w:sz w:val="28"/>
          <w:szCs w:val="28"/>
          <w:highlight w:val="none"/>
        </w:rPr>
        <w:t>第十四章　附件</w:t>
      </w:r>
    </w:p>
    <w:p>
      <w:pPr>
        <w:spacing w:line="360" w:lineRule="auto"/>
        <w:rPr>
          <w:rFonts w:ascii="Calibri" w:hAnsi="Calibri"/>
          <w:color w:val="auto"/>
          <w:sz w:val="28"/>
          <w:szCs w:val="28"/>
          <w:highlight w:val="none"/>
        </w:rPr>
      </w:pPr>
      <w:r>
        <w:rPr>
          <w:rFonts w:hint="eastAsia" w:ascii="Calibri" w:hAnsi="Calibri"/>
          <w:color w:val="auto"/>
          <w:sz w:val="28"/>
          <w:szCs w:val="28"/>
          <w:highlight w:val="none"/>
        </w:rPr>
        <w:t>本协议附件与本协议具有同样的法律效力。</w:t>
      </w:r>
    </w:p>
    <w:p>
      <w:pPr>
        <w:spacing w:line="360" w:lineRule="auto"/>
        <w:rPr>
          <w:rFonts w:ascii="Calibri" w:hAnsi="Calibri"/>
          <w:b/>
          <w:color w:val="auto"/>
          <w:sz w:val="28"/>
          <w:szCs w:val="28"/>
          <w:highlight w:val="none"/>
        </w:rPr>
      </w:pPr>
      <w:r>
        <w:rPr>
          <w:rFonts w:hint="eastAsia" w:ascii="Calibri" w:hAnsi="Calibri"/>
          <w:color w:val="auto"/>
          <w:sz w:val="28"/>
          <w:szCs w:val="28"/>
          <w:highlight w:val="none"/>
        </w:rPr>
        <w:t>　　以下无正文。</w:t>
      </w:r>
    </w:p>
    <w:p>
      <w:pPr>
        <w:spacing w:line="360" w:lineRule="auto"/>
        <w:rPr>
          <w:rFonts w:ascii="Calibri" w:hAnsi="Calibri"/>
          <w:b/>
          <w:color w:val="auto"/>
          <w:sz w:val="28"/>
          <w:szCs w:val="28"/>
          <w:highlight w:val="none"/>
        </w:rPr>
      </w:pPr>
      <w:r>
        <w:rPr>
          <w:rFonts w:hint="eastAsia" w:ascii="Calibri" w:hAnsi="Calibri"/>
          <w:b/>
          <w:color w:val="auto"/>
          <w:sz w:val="28"/>
          <w:szCs w:val="28"/>
          <w:highlight w:val="none"/>
        </w:rPr>
        <w:t>签字及盖章：</w:t>
      </w:r>
      <w:r>
        <w:rPr>
          <w:rFonts w:hint="eastAsia" w:ascii="Calibri" w:hAnsi="Calibri"/>
          <w:color w:val="auto"/>
          <w:sz w:val="28"/>
          <w:szCs w:val="28"/>
          <w:highlight w:val="none"/>
        </w:rPr>
        <w:t>　</w:t>
      </w:r>
      <w:r>
        <w:rPr>
          <w:rFonts w:hint="eastAsia" w:ascii="Calibri" w:hAnsi="Calibri"/>
          <w:b/>
          <w:color w:val="auto"/>
          <w:sz w:val="28"/>
          <w:szCs w:val="28"/>
          <w:highlight w:val="none"/>
        </w:rPr>
        <w:t>　</w:t>
      </w:r>
    </w:p>
    <w:p>
      <w:pPr>
        <w:spacing w:line="360" w:lineRule="auto"/>
        <w:rPr>
          <w:rFonts w:ascii="Calibri" w:eastAsia="Calibri"/>
          <w:b/>
          <w:color w:val="auto"/>
          <w:sz w:val="28"/>
          <w:szCs w:val="28"/>
          <w:highlight w:val="none"/>
        </w:rPr>
      </w:pPr>
      <w:r>
        <w:rPr>
          <w:rFonts w:hint="eastAsia" w:ascii="Calibri" w:hAnsi="Calibri"/>
          <w:b/>
          <w:color w:val="auto"/>
          <w:sz w:val="28"/>
          <w:szCs w:val="28"/>
          <w:highlight w:val="none"/>
        </w:rPr>
        <w:t>甲方</w:t>
      </w:r>
      <w:r>
        <w:rPr>
          <w:rFonts w:hint="eastAsia" w:ascii="Calibri" w:hAnsi="Calibri"/>
          <w:color w:val="auto"/>
          <w:sz w:val="28"/>
          <w:szCs w:val="28"/>
          <w:highlight w:val="none"/>
        </w:rPr>
        <w:t>（盖章）</w:t>
      </w:r>
      <w:r>
        <w:rPr>
          <w:rFonts w:hint="eastAsia" w:ascii="Calibri" w:hAnsi="Calibri"/>
          <w:b/>
          <w:color w:val="auto"/>
          <w:sz w:val="28"/>
          <w:szCs w:val="28"/>
          <w:highlight w:val="none"/>
        </w:rPr>
        <w:t>：</w:t>
      </w:r>
      <w:r>
        <w:rPr>
          <w:rFonts w:hint="eastAsia" w:ascii="Calibri" w:hAnsi="Calibri"/>
          <w:b/>
          <w:color w:val="auto"/>
          <w:sz w:val="28"/>
          <w:szCs w:val="28"/>
          <w:highlight w:val="none"/>
          <w:lang w:val="en-US" w:eastAsia="zh-CN"/>
        </w:rPr>
        <w:t xml:space="preserve">                         </w:t>
      </w:r>
      <w:r>
        <w:rPr>
          <w:rFonts w:hint="eastAsia" w:ascii="Calibri" w:hAnsi="Calibri"/>
          <w:b/>
          <w:color w:val="auto"/>
          <w:sz w:val="28"/>
          <w:szCs w:val="28"/>
          <w:highlight w:val="none"/>
        </w:rPr>
        <w:t>乙方</w:t>
      </w:r>
      <w:r>
        <w:rPr>
          <w:rFonts w:hint="eastAsia" w:ascii="Calibri" w:hAnsi="Calibri"/>
          <w:color w:val="auto"/>
          <w:sz w:val="28"/>
          <w:szCs w:val="28"/>
          <w:highlight w:val="none"/>
        </w:rPr>
        <w:t>（盖章）：</w:t>
      </w:r>
    </w:p>
    <w:p>
      <w:pPr>
        <w:spacing w:line="360" w:lineRule="auto"/>
        <w:rPr>
          <w:rFonts w:ascii="Calibri" w:hAnsi="Calibri"/>
          <w:color w:val="auto"/>
          <w:sz w:val="28"/>
          <w:szCs w:val="28"/>
          <w:highlight w:val="none"/>
        </w:rPr>
      </w:pPr>
      <w:r>
        <w:rPr>
          <w:rFonts w:hint="eastAsia" w:ascii="Calibri" w:hAnsi="Calibri"/>
          <w:color w:val="auto"/>
          <w:sz w:val="28"/>
          <w:szCs w:val="28"/>
          <w:highlight w:val="none"/>
        </w:rPr>
        <w:t>法定代表人</w:t>
      </w:r>
      <w:r>
        <w:rPr>
          <w:rFonts w:ascii="Calibri" w:hAnsi="Calibri"/>
          <w:color w:val="auto"/>
          <w:sz w:val="28"/>
          <w:szCs w:val="28"/>
          <w:highlight w:val="none"/>
        </w:rPr>
        <w:t>/</w:t>
      </w:r>
      <w:r>
        <w:rPr>
          <w:rFonts w:hint="eastAsia" w:ascii="Calibri" w:hAnsi="Calibri"/>
          <w:color w:val="auto"/>
          <w:sz w:val="28"/>
          <w:szCs w:val="28"/>
          <w:highlight w:val="none"/>
        </w:rPr>
        <w:t>授权代表：</w:t>
      </w:r>
      <w:r>
        <w:rPr>
          <w:rFonts w:hint="eastAsia" w:ascii="Calibri" w:hAnsi="Calibri"/>
          <w:color w:val="auto"/>
          <w:sz w:val="28"/>
          <w:szCs w:val="28"/>
          <w:highlight w:val="none"/>
          <w:lang w:val="en-US" w:eastAsia="zh-CN"/>
        </w:rPr>
        <w:t xml:space="preserve">                  </w:t>
      </w:r>
      <w:r>
        <w:rPr>
          <w:rFonts w:hint="eastAsia" w:ascii="Calibri" w:hAnsi="Calibri"/>
          <w:color w:val="auto"/>
          <w:sz w:val="28"/>
          <w:szCs w:val="28"/>
          <w:highlight w:val="none"/>
        </w:rPr>
        <w:t>法定代表人</w:t>
      </w:r>
      <w:r>
        <w:rPr>
          <w:rFonts w:ascii="Calibri" w:hAnsi="Calibri"/>
          <w:color w:val="auto"/>
          <w:sz w:val="28"/>
          <w:szCs w:val="28"/>
          <w:highlight w:val="none"/>
        </w:rPr>
        <w:t>/</w:t>
      </w:r>
      <w:r>
        <w:rPr>
          <w:rFonts w:hint="eastAsia" w:ascii="Calibri" w:hAnsi="Calibri"/>
          <w:color w:val="auto"/>
          <w:sz w:val="28"/>
          <w:szCs w:val="28"/>
          <w:highlight w:val="none"/>
        </w:rPr>
        <w:t>授权代表：</w:t>
      </w:r>
    </w:p>
    <w:p>
      <w:pPr>
        <w:spacing w:line="360" w:lineRule="auto"/>
        <w:rPr>
          <w:color w:val="auto"/>
          <w:kern w:val="0"/>
          <w:highlight w:val="none"/>
          <w:shd w:val="clear" w:color="auto" w:fill="FFFFFF"/>
        </w:rPr>
      </w:pPr>
      <w:bookmarkStart w:id="135" w:name="_Toc17850"/>
    </w:p>
    <w:p>
      <w:pPr>
        <w:spacing w:line="360" w:lineRule="auto"/>
        <w:rPr>
          <w:color w:val="auto"/>
          <w:kern w:val="0"/>
          <w:highlight w:val="none"/>
          <w:shd w:val="clear" w:color="auto" w:fill="FFFFFF"/>
        </w:rPr>
      </w:pPr>
    </w:p>
    <w:p>
      <w:pPr>
        <w:spacing w:line="360" w:lineRule="auto"/>
        <w:rPr>
          <w:color w:val="auto"/>
          <w:kern w:val="0"/>
          <w:highlight w:val="none"/>
          <w:shd w:val="clear" w:color="auto" w:fill="FFFFFF"/>
        </w:rPr>
      </w:pPr>
    </w:p>
    <w:p>
      <w:pPr>
        <w:spacing w:line="360" w:lineRule="auto"/>
        <w:rPr>
          <w:color w:val="auto"/>
          <w:kern w:val="0"/>
          <w:highlight w:val="none"/>
          <w:shd w:val="clear" w:color="auto" w:fill="FFFFFF"/>
        </w:rPr>
      </w:pPr>
    </w:p>
    <w:p>
      <w:pPr>
        <w:spacing w:line="360" w:lineRule="auto"/>
        <w:rPr>
          <w:color w:val="auto"/>
          <w:kern w:val="0"/>
          <w:highlight w:val="none"/>
          <w:shd w:val="clear" w:color="auto" w:fill="FFFFFF"/>
        </w:rPr>
      </w:pPr>
    </w:p>
    <w:p>
      <w:pPr>
        <w:pStyle w:val="2"/>
        <w:numPr>
          <w:ilvl w:val="0"/>
          <w:numId w:val="0"/>
        </w:numPr>
        <w:jc w:val="center"/>
        <w:rPr>
          <w:color w:val="auto"/>
          <w:highlight w:val="none"/>
        </w:rPr>
      </w:pPr>
      <w:bookmarkStart w:id="136" w:name="_Toc26557"/>
      <w:bookmarkStart w:id="137" w:name="_Toc30203"/>
      <w:r>
        <w:rPr>
          <w:rFonts w:hint="eastAsia"/>
          <w:color w:val="auto"/>
          <w:highlight w:val="none"/>
          <w:lang w:eastAsia="zh-CN"/>
        </w:rPr>
        <w:t>第六章</w:t>
      </w:r>
      <w:r>
        <w:rPr>
          <w:rFonts w:hint="eastAsia"/>
          <w:color w:val="auto"/>
          <w:highlight w:val="none"/>
          <w:lang w:val="en-US" w:eastAsia="zh-CN"/>
        </w:rPr>
        <w:t xml:space="preserve">  </w:t>
      </w:r>
      <w:r>
        <w:rPr>
          <w:rFonts w:hint="eastAsia"/>
          <w:color w:val="auto"/>
          <w:highlight w:val="none"/>
        </w:rPr>
        <w:t>特许经营者应当具备的条件及选择方式</w:t>
      </w:r>
      <w:bookmarkEnd w:id="135"/>
      <w:bookmarkEnd w:id="136"/>
      <w:bookmarkEnd w:id="137"/>
    </w:p>
    <w:p>
      <w:pPr>
        <w:rPr>
          <w:color w:val="auto"/>
          <w:highlight w:val="none"/>
        </w:rPr>
      </w:pPr>
    </w:p>
    <w:p>
      <w:pPr>
        <w:pStyle w:val="3"/>
        <w:rPr>
          <w:color w:val="auto"/>
          <w:highlight w:val="none"/>
        </w:rPr>
      </w:pPr>
      <w:bookmarkStart w:id="138" w:name="_Toc23256"/>
      <w:bookmarkStart w:id="139" w:name="_Toc14334"/>
      <w:bookmarkStart w:id="140" w:name="_Toc12049"/>
      <w:r>
        <w:rPr>
          <w:rFonts w:hint="eastAsia"/>
          <w:color w:val="auto"/>
          <w:highlight w:val="none"/>
        </w:rPr>
        <w:t>一.</w:t>
      </w:r>
      <w:r>
        <w:rPr>
          <w:color w:val="auto"/>
          <w:highlight w:val="none"/>
        </w:rPr>
        <w:t>特许经营者条件</w:t>
      </w:r>
      <w:bookmarkEnd w:id="138"/>
      <w:bookmarkEnd w:id="139"/>
      <w:bookmarkEnd w:id="140"/>
    </w:p>
    <w:p>
      <w:pPr>
        <w:spacing w:line="360" w:lineRule="auto"/>
        <w:rPr>
          <w:rFonts w:ascii="Calibri" w:eastAsia="宋体"/>
          <w:color w:val="auto"/>
          <w:sz w:val="28"/>
          <w:szCs w:val="28"/>
          <w:highlight w:val="none"/>
        </w:rPr>
      </w:pPr>
      <w:bookmarkStart w:id="141" w:name="_Toc7117"/>
      <w:r>
        <w:rPr>
          <w:rFonts w:hint="eastAsia" w:ascii="Calibri" w:eastAsia="宋体"/>
          <w:color w:val="auto"/>
          <w:sz w:val="28"/>
          <w:szCs w:val="28"/>
          <w:highlight w:val="none"/>
        </w:rPr>
        <w:t xml:space="preserve">   1.特许经营者应具有独立法人资格并依法取得营业执照，营业执照处于有效期；</w:t>
      </w:r>
    </w:p>
    <w:p>
      <w:pPr>
        <w:spacing w:line="360" w:lineRule="auto"/>
        <w:rPr>
          <w:rFonts w:ascii="Calibri" w:eastAsia="宋体"/>
          <w:color w:val="auto"/>
          <w:sz w:val="28"/>
          <w:szCs w:val="28"/>
          <w:highlight w:val="none"/>
        </w:rPr>
      </w:pPr>
      <w:r>
        <w:rPr>
          <w:rFonts w:hint="eastAsia" w:ascii="Calibri" w:eastAsia="宋体"/>
          <w:color w:val="auto"/>
          <w:sz w:val="28"/>
          <w:szCs w:val="28"/>
          <w:highlight w:val="none"/>
        </w:rPr>
        <w:t xml:space="preserve">   2.特许经营者必须是在中华人民共和国（含港澳台地区）注册从事燃气运营或投资的企业，且注册资金须不小于3000万元人民币（或等值外币)；</w:t>
      </w:r>
    </w:p>
    <w:p>
      <w:pPr>
        <w:spacing w:line="360" w:lineRule="auto"/>
        <w:rPr>
          <w:rFonts w:ascii="Calibri" w:eastAsia="宋体"/>
          <w:color w:val="auto"/>
          <w:sz w:val="28"/>
          <w:szCs w:val="28"/>
          <w:highlight w:val="none"/>
        </w:rPr>
      </w:pPr>
      <w:r>
        <w:rPr>
          <w:rFonts w:hint="eastAsia" w:ascii="Calibri" w:eastAsia="宋体"/>
          <w:color w:val="auto"/>
          <w:sz w:val="28"/>
          <w:szCs w:val="28"/>
          <w:highlight w:val="none"/>
        </w:rPr>
        <w:t xml:space="preserve">   3.特许经营者须在国内有直接或间接投资经营的城市管道燃气项目（投标人或投标人的子公司须具有燃气经营许可证或管道燃气特许经营权协议）；</w:t>
      </w:r>
    </w:p>
    <w:p>
      <w:pPr>
        <w:spacing w:line="360" w:lineRule="auto"/>
        <w:rPr>
          <w:rFonts w:ascii="Calibri" w:eastAsia="宋体"/>
          <w:color w:val="auto"/>
          <w:sz w:val="28"/>
          <w:szCs w:val="28"/>
          <w:highlight w:val="none"/>
        </w:rPr>
      </w:pPr>
      <w:r>
        <w:rPr>
          <w:rFonts w:hint="eastAsia" w:ascii="Calibri" w:eastAsia="宋体"/>
          <w:color w:val="auto"/>
          <w:sz w:val="28"/>
          <w:szCs w:val="28"/>
          <w:highlight w:val="none"/>
        </w:rPr>
        <w:t xml:space="preserve">   4.特许经营者有稳定的气源保障，如与上游气源方的合作协议（非采购合同）；</w:t>
      </w:r>
    </w:p>
    <w:p>
      <w:pPr>
        <w:spacing w:line="360" w:lineRule="auto"/>
        <w:rPr>
          <w:rFonts w:ascii="Calibri" w:eastAsia="宋体"/>
          <w:color w:val="auto"/>
          <w:sz w:val="28"/>
          <w:szCs w:val="28"/>
          <w:highlight w:val="none"/>
        </w:rPr>
      </w:pPr>
      <w:r>
        <w:rPr>
          <w:rFonts w:hint="eastAsia" w:ascii="Calibri" w:eastAsia="宋体"/>
          <w:color w:val="auto"/>
          <w:sz w:val="28"/>
          <w:szCs w:val="28"/>
          <w:highlight w:val="none"/>
        </w:rPr>
        <w:t xml:space="preserve">   5.特许经营者应有良好的银行资信和财务状况，有足够的资金或融资能力，能为项目建设提供资金保障。</w:t>
      </w:r>
    </w:p>
    <w:p>
      <w:pPr>
        <w:pStyle w:val="3"/>
        <w:rPr>
          <w:color w:val="auto"/>
          <w:highlight w:val="none"/>
        </w:rPr>
      </w:pPr>
      <w:bookmarkStart w:id="142" w:name="_Toc6113"/>
      <w:bookmarkStart w:id="143" w:name="_Toc12833"/>
      <w:r>
        <w:rPr>
          <w:rFonts w:hint="eastAsia"/>
          <w:color w:val="auto"/>
          <w:highlight w:val="none"/>
        </w:rPr>
        <w:t>二.</w:t>
      </w:r>
      <w:r>
        <w:rPr>
          <w:color w:val="auto"/>
          <w:highlight w:val="none"/>
        </w:rPr>
        <w:t>特许经营</w:t>
      </w:r>
      <w:r>
        <w:rPr>
          <w:rFonts w:hint="eastAsia"/>
          <w:color w:val="auto"/>
          <w:highlight w:val="none"/>
        </w:rPr>
        <w:t>权者的选择方式</w:t>
      </w:r>
      <w:bookmarkEnd w:id="141"/>
      <w:bookmarkEnd w:id="142"/>
      <w:bookmarkEnd w:id="143"/>
    </w:p>
    <w:p>
      <w:pPr>
        <w:rPr>
          <w:color w:val="auto"/>
          <w:highlight w:val="none"/>
        </w:rPr>
      </w:pPr>
      <w:r>
        <w:rPr>
          <w:rFonts w:hint="eastAsia" w:cs="Times New Roman"/>
          <w:color w:val="auto"/>
          <w:kern w:val="0"/>
          <w:sz w:val="28"/>
          <w:szCs w:val="28"/>
          <w:highlight w:val="none"/>
          <w:shd w:val="clear" w:color="auto" w:fill="FFFFFF"/>
          <w:lang w:val="en-US" w:eastAsia="zh-CN"/>
        </w:rPr>
        <w:t xml:space="preserve">   </w:t>
      </w:r>
      <w:r>
        <w:rPr>
          <w:rFonts w:hint="eastAsia" w:cs="Times New Roman"/>
          <w:color w:val="auto"/>
          <w:kern w:val="0"/>
          <w:sz w:val="28"/>
          <w:szCs w:val="28"/>
          <w:highlight w:val="none"/>
          <w:shd w:val="clear" w:color="auto" w:fill="FFFFFF"/>
        </w:rPr>
        <w:t>阳山县管道燃气特许经营</w:t>
      </w:r>
      <w:r>
        <w:rPr>
          <w:rFonts w:hint="eastAsia" w:cs="Times New Roman"/>
          <w:color w:val="auto"/>
          <w:kern w:val="0"/>
          <w:sz w:val="28"/>
          <w:szCs w:val="28"/>
          <w:highlight w:val="none"/>
          <w:shd w:val="clear" w:color="auto" w:fill="FFFFFF"/>
          <w:lang w:val="en-US" w:eastAsia="zh-CN"/>
        </w:rPr>
        <w:t>者</w:t>
      </w:r>
      <w:r>
        <w:rPr>
          <w:rFonts w:hint="eastAsia" w:cs="Times New Roman"/>
          <w:color w:val="auto"/>
          <w:kern w:val="0"/>
          <w:sz w:val="28"/>
          <w:szCs w:val="28"/>
          <w:highlight w:val="none"/>
          <w:shd w:val="clear" w:color="auto" w:fill="FFFFFF"/>
        </w:rPr>
        <w:t>的选择的方式采用</w:t>
      </w:r>
      <w:r>
        <w:rPr>
          <w:rFonts w:hint="eastAsia" w:cs="Times New Roman"/>
          <w:color w:val="auto"/>
          <w:kern w:val="0"/>
          <w:sz w:val="28"/>
          <w:szCs w:val="28"/>
          <w:highlight w:val="none"/>
          <w:shd w:val="clear" w:color="auto" w:fill="FFFFFF"/>
          <w:lang w:val="en-US" w:eastAsia="zh-CN"/>
        </w:rPr>
        <w:t>公开</w:t>
      </w:r>
      <w:r>
        <w:rPr>
          <w:rFonts w:hint="eastAsia" w:cs="Times New Roman"/>
          <w:color w:val="auto"/>
          <w:kern w:val="0"/>
          <w:sz w:val="28"/>
          <w:szCs w:val="28"/>
          <w:highlight w:val="none"/>
          <w:shd w:val="clear" w:color="auto" w:fill="FFFFFF"/>
        </w:rPr>
        <w:t>招投标的方式进行。</w:t>
      </w:r>
    </w:p>
    <w:p>
      <w:pPr>
        <w:autoSpaceDE w:val="0"/>
        <w:autoSpaceDN w:val="0"/>
        <w:adjustRightInd w:val="0"/>
        <w:jc w:val="left"/>
        <w:rPr>
          <w:rFonts w:cs="Times New Roman"/>
          <w:color w:val="auto"/>
          <w:kern w:val="0"/>
          <w:sz w:val="28"/>
          <w:szCs w:val="28"/>
          <w:highlight w:val="none"/>
          <w:shd w:val="clear" w:color="auto" w:fill="FFFFFF"/>
        </w:rPr>
      </w:pPr>
    </w:p>
    <w:p>
      <w:pPr>
        <w:autoSpaceDE w:val="0"/>
        <w:autoSpaceDN w:val="0"/>
        <w:adjustRightInd w:val="0"/>
        <w:jc w:val="left"/>
        <w:rPr>
          <w:rFonts w:cs="Times New Roman"/>
          <w:color w:val="auto"/>
          <w:kern w:val="0"/>
          <w:sz w:val="28"/>
          <w:szCs w:val="28"/>
          <w:highlight w:val="none"/>
          <w:shd w:val="clear" w:color="auto" w:fill="FFFFFF"/>
        </w:rPr>
      </w:pPr>
    </w:p>
    <w:p>
      <w:pPr>
        <w:autoSpaceDE w:val="0"/>
        <w:autoSpaceDN w:val="0"/>
        <w:adjustRightInd w:val="0"/>
        <w:jc w:val="left"/>
        <w:rPr>
          <w:rFonts w:cs="Times New Roman"/>
          <w:color w:val="auto"/>
          <w:kern w:val="0"/>
          <w:sz w:val="28"/>
          <w:szCs w:val="28"/>
          <w:highlight w:val="none"/>
          <w:shd w:val="clear" w:color="auto" w:fill="FFFFFF"/>
        </w:rPr>
      </w:pPr>
    </w:p>
    <w:p>
      <w:pPr>
        <w:autoSpaceDE w:val="0"/>
        <w:autoSpaceDN w:val="0"/>
        <w:adjustRightInd w:val="0"/>
        <w:jc w:val="left"/>
        <w:rPr>
          <w:rFonts w:cs="Times New Roman"/>
          <w:color w:val="auto"/>
          <w:kern w:val="0"/>
          <w:sz w:val="28"/>
          <w:szCs w:val="28"/>
          <w:highlight w:val="none"/>
          <w:shd w:val="clear" w:color="auto" w:fill="FFFFFF"/>
        </w:rPr>
      </w:pPr>
    </w:p>
    <w:p>
      <w:pPr>
        <w:autoSpaceDE w:val="0"/>
        <w:autoSpaceDN w:val="0"/>
        <w:adjustRightInd w:val="0"/>
        <w:jc w:val="left"/>
        <w:rPr>
          <w:rFonts w:cs="Times New Roman"/>
          <w:color w:val="auto"/>
          <w:kern w:val="0"/>
          <w:sz w:val="28"/>
          <w:szCs w:val="28"/>
          <w:highlight w:val="none"/>
          <w:shd w:val="clear" w:color="auto" w:fill="FFFFFF"/>
        </w:rPr>
      </w:pPr>
    </w:p>
    <w:p>
      <w:pPr>
        <w:autoSpaceDE w:val="0"/>
        <w:autoSpaceDN w:val="0"/>
        <w:adjustRightInd w:val="0"/>
        <w:jc w:val="left"/>
        <w:rPr>
          <w:rFonts w:cs="Times New Roman"/>
          <w:color w:val="auto"/>
          <w:kern w:val="0"/>
          <w:sz w:val="28"/>
          <w:szCs w:val="28"/>
          <w:highlight w:val="none"/>
          <w:shd w:val="clear" w:color="auto" w:fill="FFFFFF"/>
        </w:rPr>
      </w:pPr>
    </w:p>
    <w:p>
      <w:pPr>
        <w:pStyle w:val="2"/>
        <w:rPr>
          <w:color w:val="auto"/>
          <w:highlight w:val="none"/>
        </w:rPr>
      </w:pPr>
      <w:bookmarkStart w:id="144" w:name="_Toc18855"/>
      <w:bookmarkStart w:id="145" w:name="_Toc19528"/>
      <w:bookmarkStart w:id="146" w:name="_Toc31465"/>
      <w:r>
        <w:rPr>
          <w:rFonts w:hint="eastAsia"/>
          <w:color w:val="auto"/>
          <w:highlight w:val="none"/>
        </w:rPr>
        <w:t>第</w:t>
      </w:r>
      <w:r>
        <w:rPr>
          <w:rFonts w:hint="eastAsia"/>
          <w:color w:val="auto"/>
          <w:highlight w:val="none"/>
          <w:lang w:eastAsia="zh-CN"/>
        </w:rPr>
        <w:t>七</w:t>
      </w:r>
      <w:r>
        <w:rPr>
          <w:rFonts w:hint="eastAsia"/>
          <w:color w:val="auto"/>
          <w:highlight w:val="none"/>
        </w:rPr>
        <w:t>章</w:t>
      </w:r>
      <w:r>
        <w:rPr>
          <w:rFonts w:hint="eastAsia"/>
          <w:color w:val="auto"/>
          <w:highlight w:val="none"/>
          <w:lang w:val="en-US" w:eastAsia="zh-CN"/>
        </w:rPr>
        <w:t xml:space="preserve">  </w:t>
      </w:r>
      <w:r>
        <w:rPr>
          <w:rFonts w:hint="eastAsia"/>
          <w:color w:val="auto"/>
          <w:highlight w:val="none"/>
        </w:rPr>
        <w:t>政府承诺和保障</w:t>
      </w:r>
      <w:bookmarkEnd w:id="144"/>
      <w:bookmarkEnd w:id="145"/>
      <w:bookmarkEnd w:id="146"/>
    </w:p>
    <w:p>
      <w:pPr>
        <w:spacing w:before="157" w:beforeLines="50" w:afterLines="0" w:line="360" w:lineRule="auto"/>
        <w:ind w:firstLine="560" w:firstLineChars="200"/>
        <w:jc w:val="left"/>
        <w:rPr>
          <w:rFonts w:hint="eastAsia"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lang w:val="en-US" w:eastAsia="zh-CN"/>
        </w:rPr>
        <w:t>1.</w:t>
      </w:r>
      <w:r>
        <w:rPr>
          <w:rFonts w:hint="eastAsia" w:ascii="Calibri" w:hAnsi="Calibri"/>
          <w:color w:val="auto"/>
          <w:sz w:val="28"/>
          <w:szCs w:val="28"/>
          <w:highlight w:val="none"/>
        </w:rPr>
        <w:t>依照国家相关法律、法规及有关技术标准对特许经营业务进行监管；</w:t>
      </w:r>
    </w:p>
    <w:p>
      <w:pPr>
        <w:numPr>
          <w:ilvl w:val="0"/>
          <w:numId w:val="6"/>
        </w:numPr>
        <w:spacing w:before="157" w:beforeLines="50" w:afterLines="0" w:line="360" w:lineRule="auto"/>
        <w:ind w:firstLine="560" w:firstLineChars="200"/>
        <w:jc w:val="left"/>
        <w:rPr>
          <w:rFonts w:hint="eastAsia"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rPr>
        <w:t>成立阳山县管道燃气利用工程项目协调领导小组，协助管道燃气特许经营企业办理项目公司注册、立项、落实项目建设用地及土地手续、以及工程建设和经营过程中所需的批文和相关手续等，以加快推进阳山县天然气利用工程实施进展。</w:t>
      </w:r>
    </w:p>
    <w:p>
      <w:pPr>
        <w:widowControl/>
        <w:numPr>
          <w:ilvl w:val="-1"/>
          <w:numId w:val="0"/>
        </w:numPr>
        <w:shd w:val="clear" w:color="auto" w:fill="FFFFFF"/>
        <w:spacing w:before="157" w:beforeLines="50" w:beforeAutospacing="0" w:afterLines="0" w:afterAutospacing="0" w:line="360" w:lineRule="auto"/>
        <w:ind w:firstLine="560" w:firstLineChars="200"/>
        <w:jc w:val="left"/>
        <w:rPr>
          <w:rFonts w:hint="eastAsia"/>
          <w:color w:val="auto"/>
          <w:sz w:val="28"/>
          <w:szCs w:val="28"/>
          <w:highlight w:val="none"/>
          <w:shd w:val="clear" w:color="auto" w:fill="FFFFFF"/>
        </w:rPr>
      </w:pPr>
      <w:r>
        <w:rPr>
          <w:rFonts w:hint="eastAsia" w:cs="Times New Roman"/>
          <w:color w:val="auto"/>
          <w:kern w:val="0"/>
          <w:sz w:val="28"/>
          <w:szCs w:val="28"/>
          <w:highlight w:val="none"/>
          <w:shd w:val="clear" w:color="auto" w:fill="FFFFFF"/>
          <w:lang w:val="en-US" w:eastAsia="zh-CN"/>
        </w:rPr>
        <w:t>3.</w:t>
      </w:r>
      <w:r>
        <w:rPr>
          <w:rFonts w:hint="eastAsia"/>
          <w:color w:val="auto"/>
          <w:sz w:val="28"/>
          <w:szCs w:val="28"/>
          <w:highlight w:val="none"/>
          <w:shd w:val="clear" w:color="auto" w:fill="FFFFFF"/>
        </w:rPr>
        <w:t>维护特许经营权的完整性。在特许经营期间，政府不得在已授予乙方特许经营权地域范围内，再将特许经营权授予第三方。</w:t>
      </w:r>
    </w:p>
    <w:p>
      <w:pPr>
        <w:widowControl/>
        <w:numPr>
          <w:ilvl w:val="-1"/>
          <w:numId w:val="0"/>
        </w:numPr>
        <w:shd w:val="clear" w:color="auto" w:fill="FFFFFF"/>
        <w:spacing w:before="157" w:beforeLines="50" w:beforeAutospacing="0" w:afterLines="0" w:afterAutospacing="0" w:line="360" w:lineRule="auto"/>
        <w:ind w:firstLine="560" w:firstLineChars="200"/>
        <w:jc w:val="left"/>
        <w:rPr>
          <w:rFonts w:hint="eastAsia"/>
          <w:color w:val="auto"/>
          <w:sz w:val="28"/>
          <w:szCs w:val="28"/>
          <w:highlight w:val="none"/>
          <w:shd w:val="clear" w:color="auto" w:fill="FFFFFF"/>
        </w:rPr>
      </w:pPr>
      <w:r>
        <w:rPr>
          <w:rFonts w:hint="eastAsia"/>
          <w:color w:val="auto"/>
          <w:sz w:val="28"/>
          <w:szCs w:val="28"/>
          <w:highlight w:val="none"/>
          <w:shd w:val="clear" w:color="auto" w:fill="FFFFFF"/>
          <w:lang w:val="en-US" w:eastAsia="zh-CN"/>
        </w:rPr>
        <w:t>4.</w:t>
      </w:r>
      <w:r>
        <w:rPr>
          <w:rFonts w:hint="eastAsia"/>
          <w:color w:val="auto"/>
          <w:sz w:val="28"/>
          <w:szCs w:val="28"/>
          <w:highlight w:val="none"/>
          <w:shd w:val="clear" w:color="auto" w:fill="FFFFFF"/>
        </w:rPr>
        <w:t>维护特许经营范围内燃气市场秩序。依法制止和排除或者要求有关部门依法制止和排除侵害特许经营权的行为。其他任何单位和个人不得以管道形式对特许经营区域内的用户进行直接供气。如有前述侵犯特许经营权的行为，政府保证全力予以制止。</w:t>
      </w:r>
    </w:p>
    <w:p>
      <w:pPr>
        <w:widowControl/>
        <w:numPr>
          <w:ilvl w:val="-1"/>
          <w:numId w:val="0"/>
        </w:numPr>
        <w:spacing w:before="157" w:beforeLines="50" w:afterLines="0" w:line="360" w:lineRule="auto"/>
        <w:ind w:firstLine="560" w:firstLineChars="200"/>
        <w:jc w:val="left"/>
        <w:rPr>
          <w:rFonts w:cs="Times New Roman"/>
          <w:color w:val="auto"/>
          <w:kern w:val="0"/>
          <w:sz w:val="28"/>
          <w:szCs w:val="28"/>
          <w:highlight w:val="none"/>
          <w:shd w:val="clear" w:color="auto" w:fill="FFFFFF"/>
        </w:rPr>
      </w:pPr>
      <w:r>
        <w:rPr>
          <w:rFonts w:hint="eastAsia"/>
          <w:color w:val="auto"/>
          <w:sz w:val="28"/>
          <w:szCs w:val="28"/>
          <w:highlight w:val="none"/>
          <w:shd w:val="clear" w:color="auto" w:fill="FFFFFF"/>
          <w:lang w:val="en-US" w:eastAsia="zh-CN"/>
        </w:rPr>
        <w:t>5.</w:t>
      </w:r>
      <w:r>
        <w:rPr>
          <w:rFonts w:hint="eastAsia" w:cs="Times New Roman"/>
          <w:color w:val="auto"/>
          <w:kern w:val="0"/>
          <w:sz w:val="28"/>
          <w:szCs w:val="28"/>
          <w:highlight w:val="none"/>
          <w:shd w:val="clear" w:color="auto" w:fill="FFFFFF"/>
        </w:rPr>
        <w:t>对城市规划区内新建住宅小区，应执行“四同时”政策，即燃气管道与住宅应同时规划、同时设计、同时施工、同时验收。新建住宅未由维护特许经营企业同步建设燃气管道设施的，政府及有关规划、住建等部门不予批准开工建设和组织验收；</w:t>
      </w:r>
    </w:p>
    <w:p>
      <w:pPr>
        <w:numPr>
          <w:ilvl w:val="-1"/>
          <w:numId w:val="0"/>
        </w:numPr>
        <w:spacing w:before="157" w:afterLines="0" w:line="360" w:lineRule="auto"/>
        <w:ind w:firstLine="560" w:firstLineChars="200"/>
        <w:rPr>
          <w:rFonts w:hint="eastAsia"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lang w:val="en-US" w:eastAsia="zh-CN"/>
        </w:rPr>
        <w:t>6.</w:t>
      </w:r>
      <w:r>
        <w:rPr>
          <w:rFonts w:hint="eastAsia" w:cs="Times New Roman"/>
          <w:color w:val="auto"/>
          <w:kern w:val="0"/>
          <w:sz w:val="28"/>
          <w:szCs w:val="28"/>
          <w:highlight w:val="none"/>
          <w:shd w:val="clear" w:color="auto" w:fill="FFFFFF"/>
        </w:rPr>
        <w:t>积极推行环保政策，出台鼓励使用清洁能源燃气的相关政策，逐步提高清洁能源在城市中的利用比例，在城市内严格控制用煤量及排污总量，有效控制大气污染，为城市居民营造良好的生存环境。</w:t>
      </w:r>
    </w:p>
    <w:p>
      <w:pPr>
        <w:spacing w:before="157" w:afterLines="0" w:line="360" w:lineRule="auto"/>
        <w:ind w:firstLine="560" w:firstLineChars="200"/>
        <w:rPr>
          <w:rFonts w:hint="eastAsia" w:cs="Times New Roman"/>
          <w:color w:val="auto"/>
          <w:kern w:val="0"/>
          <w:sz w:val="28"/>
          <w:szCs w:val="28"/>
          <w:highlight w:val="none"/>
          <w:shd w:val="clear" w:color="auto" w:fill="FFFFFF"/>
        </w:rPr>
      </w:pPr>
      <w:r>
        <w:rPr>
          <w:rFonts w:hint="eastAsia" w:cs="Times New Roman"/>
          <w:color w:val="auto"/>
          <w:kern w:val="0"/>
          <w:sz w:val="28"/>
          <w:szCs w:val="28"/>
          <w:highlight w:val="none"/>
          <w:shd w:val="clear" w:color="auto" w:fill="FFFFFF"/>
          <w:lang w:val="en-US" w:eastAsia="zh-CN"/>
        </w:rPr>
        <w:t>7.</w:t>
      </w:r>
      <w:r>
        <w:rPr>
          <w:rFonts w:hint="eastAsia" w:cs="Times New Roman"/>
          <w:color w:val="auto"/>
          <w:kern w:val="0"/>
          <w:sz w:val="28"/>
          <w:szCs w:val="28"/>
          <w:highlight w:val="none"/>
          <w:shd w:val="clear" w:color="auto" w:fill="FFFFFF"/>
        </w:rPr>
        <w:t>保证特许经营企业是特许经营区域内唯一的管道燃气经营商。对于特许经营区域内现在或者将来引入的管道天然气，特许经营企业是唯一有权向上游天然气供应商购买天然气，并将天然气输送、销售给用户的公司。</w:t>
      </w:r>
    </w:p>
    <w:p>
      <w:pPr>
        <w:widowControl/>
        <w:numPr>
          <w:ilvl w:val="-1"/>
          <w:numId w:val="0"/>
        </w:numPr>
        <w:shd w:val="clear" w:color="auto" w:fill="FFFFFF"/>
        <w:spacing w:beforeAutospacing="0" w:afterAutospacing="0" w:line="360" w:lineRule="auto"/>
        <w:ind w:firstLine="560" w:firstLineChars="200"/>
        <w:rPr>
          <w:color w:val="auto"/>
          <w:sz w:val="28"/>
          <w:szCs w:val="28"/>
          <w:highlight w:val="none"/>
          <w:shd w:val="clear" w:color="auto" w:fill="FFFFFF"/>
        </w:rPr>
      </w:pPr>
      <w:r>
        <w:rPr>
          <w:rFonts w:hint="eastAsia"/>
          <w:color w:val="auto"/>
          <w:sz w:val="28"/>
          <w:szCs w:val="28"/>
          <w:highlight w:val="none"/>
          <w:shd w:val="clear" w:color="auto" w:fill="FFFFFF"/>
          <w:lang w:val="en-US" w:eastAsia="zh-CN"/>
        </w:rPr>
        <w:t>8.</w:t>
      </w:r>
      <w:r>
        <w:rPr>
          <w:rFonts w:hint="eastAsia"/>
          <w:color w:val="auto"/>
          <w:sz w:val="28"/>
          <w:szCs w:val="28"/>
          <w:highlight w:val="none"/>
          <w:shd w:val="clear" w:color="auto" w:fill="FFFFFF"/>
        </w:rPr>
        <w:t>制订临时接管特许经营企业管道燃气设施及运行预案，保证社会公众的利益。</w:t>
      </w:r>
    </w:p>
    <w:p>
      <w:pPr>
        <w:pStyle w:val="22"/>
        <w:widowControl/>
        <w:shd w:val="clear" w:color="auto" w:fill="FFFFFF"/>
        <w:spacing w:beforeAutospacing="0" w:afterAutospacing="0" w:line="360" w:lineRule="atLeast"/>
        <w:ind w:firstLine="420"/>
        <w:rPr>
          <w:color w:val="auto"/>
          <w:sz w:val="28"/>
          <w:szCs w:val="28"/>
          <w:highlight w:val="none"/>
          <w:shd w:val="clear" w:color="auto" w:fill="FFFFFF"/>
        </w:rPr>
      </w:pPr>
      <w:r>
        <w:rPr>
          <w:rFonts w:hint="eastAsia" w:cs="Times New Roman"/>
          <w:color w:val="auto"/>
          <w:kern w:val="0"/>
          <w:sz w:val="28"/>
          <w:szCs w:val="28"/>
          <w:highlight w:val="none"/>
          <w:shd w:val="clear" w:color="auto" w:fill="FFFFFF"/>
          <w:lang w:val="en-US" w:eastAsia="zh-CN"/>
        </w:rPr>
        <w:t>9.</w:t>
      </w:r>
      <w:r>
        <w:rPr>
          <w:rFonts w:hint="eastAsia" w:cs="Times New Roman"/>
          <w:color w:val="auto"/>
          <w:kern w:val="0"/>
          <w:sz w:val="28"/>
          <w:szCs w:val="28"/>
          <w:highlight w:val="none"/>
          <w:shd w:val="clear" w:color="auto" w:fill="FFFFFF"/>
        </w:rPr>
        <w:t>提供</w:t>
      </w:r>
      <w:r>
        <w:rPr>
          <w:rFonts w:hint="eastAsia" w:cs="Times New Roman"/>
          <w:color w:val="auto"/>
          <w:kern w:val="0"/>
          <w:sz w:val="28"/>
          <w:szCs w:val="28"/>
          <w:highlight w:val="none"/>
          <w:shd w:val="clear" w:color="auto" w:fill="FFFFFF"/>
          <w:lang w:val="en-US" w:eastAsia="zh-CN"/>
        </w:rPr>
        <w:t>其他</w:t>
      </w:r>
      <w:r>
        <w:rPr>
          <w:rFonts w:hint="eastAsia" w:cs="Times New Roman"/>
          <w:color w:val="auto"/>
          <w:kern w:val="0"/>
          <w:sz w:val="28"/>
          <w:szCs w:val="28"/>
          <w:highlight w:val="none"/>
          <w:shd w:val="clear" w:color="auto" w:fill="FFFFFF"/>
        </w:rPr>
        <w:t>必要的政策支持和扶持。</w:t>
      </w:r>
    </w:p>
    <w:p>
      <w:pPr>
        <w:pStyle w:val="22"/>
        <w:widowControl/>
        <w:shd w:val="clear" w:color="auto" w:fill="FFFFFF"/>
        <w:spacing w:beforeAutospacing="0" w:afterAutospacing="0" w:line="360" w:lineRule="atLeast"/>
        <w:ind w:firstLine="420"/>
        <w:rPr>
          <w:color w:val="auto"/>
          <w:sz w:val="28"/>
          <w:szCs w:val="28"/>
          <w:highlight w:val="none"/>
          <w:shd w:val="clear" w:color="auto" w:fill="FFFFFF"/>
        </w:rPr>
      </w:pPr>
    </w:p>
    <w:p>
      <w:pPr>
        <w:pStyle w:val="22"/>
        <w:widowControl/>
        <w:shd w:val="clear" w:color="auto" w:fill="FFFFFF"/>
        <w:spacing w:beforeAutospacing="0" w:afterAutospacing="0" w:line="360" w:lineRule="atLeast"/>
        <w:ind w:firstLine="420"/>
        <w:rPr>
          <w:color w:val="auto"/>
          <w:sz w:val="28"/>
          <w:szCs w:val="28"/>
          <w:highlight w:val="none"/>
          <w:shd w:val="clear" w:color="auto" w:fill="FFFFFF"/>
        </w:rPr>
      </w:pPr>
    </w:p>
    <w:p>
      <w:pPr>
        <w:pStyle w:val="22"/>
        <w:widowControl/>
        <w:shd w:val="clear" w:color="auto" w:fill="FFFFFF"/>
        <w:spacing w:beforeAutospacing="0" w:afterAutospacing="0" w:line="360" w:lineRule="atLeast"/>
        <w:ind w:firstLine="420"/>
        <w:rPr>
          <w:color w:val="auto"/>
          <w:sz w:val="28"/>
          <w:szCs w:val="28"/>
          <w:highlight w:val="none"/>
          <w:shd w:val="clear" w:color="auto" w:fill="FFFFFF"/>
        </w:rPr>
      </w:pPr>
    </w:p>
    <w:p>
      <w:pPr>
        <w:pStyle w:val="22"/>
        <w:widowControl/>
        <w:shd w:val="clear" w:color="auto" w:fill="FFFFFF"/>
        <w:spacing w:beforeAutospacing="0" w:afterAutospacing="0" w:line="360" w:lineRule="atLeast"/>
        <w:ind w:firstLine="420"/>
        <w:rPr>
          <w:color w:val="auto"/>
          <w:sz w:val="28"/>
          <w:szCs w:val="28"/>
          <w:highlight w:val="none"/>
          <w:shd w:val="clear" w:color="auto" w:fill="FFFFFF"/>
        </w:rPr>
      </w:pPr>
    </w:p>
    <w:p>
      <w:pPr>
        <w:pStyle w:val="22"/>
        <w:widowControl/>
        <w:shd w:val="clear" w:color="auto" w:fill="FFFFFF"/>
        <w:spacing w:beforeAutospacing="0" w:afterAutospacing="0" w:line="360" w:lineRule="atLeast"/>
        <w:ind w:firstLine="420"/>
        <w:rPr>
          <w:color w:val="auto"/>
          <w:sz w:val="28"/>
          <w:szCs w:val="28"/>
          <w:highlight w:val="none"/>
          <w:shd w:val="clear" w:color="auto" w:fill="FFFFFF"/>
        </w:rPr>
      </w:pPr>
      <w:r>
        <w:rPr>
          <w:color w:val="auto"/>
          <w:sz w:val="28"/>
          <w:szCs w:val="28"/>
          <w:highlight w:val="none"/>
          <w:shd w:val="clear" w:color="auto" w:fill="FFFFFF"/>
        </w:rPr>
        <w:t> </w:t>
      </w:r>
    </w:p>
    <w:p>
      <w:pPr>
        <w:autoSpaceDE w:val="0"/>
        <w:autoSpaceDN w:val="0"/>
        <w:adjustRightInd w:val="0"/>
        <w:jc w:val="left"/>
        <w:rPr>
          <w:rFonts w:cs="Times New Roman"/>
          <w:color w:val="auto"/>
          <w:kern w:val="0"/>
          <w:sz w:val="28"/>
          <w:szCs w:val="28"/>
          <w:highlight w:val="none"/>
          <w:shd w:val="clear" w:color="auto" w:fill="FFFFFF"/>
        </w:rPr>
      </w:pPr>
    </w:p>
    <w:p>
      <w:pPr>
        <w:autoSpaceDE w:val="0"/>
        <w:autoSpaceDN w:val="0"/>
        <w:adjustRightInd w:val="0"/>
        <w:jc w:val="left"/>
        <w:rPr>
          <w:rFonts w:cs="Times New Roman"/>
          <w:color w:val="auto"/>
          <w:kern w:val="0"/>
          <w:sz w:val="28"/>
          <w:szCs w:val="28"/>
          <w:highlight w:val="none"/>
          <w:shd w:val="clear" w:color="auto" w:fill="FFFFFF"/>
        </w:rPr>
      </w:pPr>
    </w:p>
    <w:p>
      <w:pPr>
        <w:autoSpaceDE w:val="0"/>
        <w:autoSpaceDN w:val="0"/>
        <w:adjustRightInd w:val="0"/>
        <w:jc w:val="left"/>
        <w:rPr>
          <w:rFonts w:cs="Times New Roman"/>
          <w:color w:val="auto"/>
          <w:kern w:val="0"/>
          <w:sz w:val="28"/>
          <w:szCs w:val="28"/>
          <w:highlight w:val="none"/>
          <w:shd w:val="clear" w:color="auto" w:fill="FFFFFF"/>
        </w:rPr>
      </w:pPr>
    </w:p>
    <w:p>
      <w:pPr>
        <w:autoSpaceDE w:val="0"/>
        <w:autoSpaceDN w:val="0"/>
        <w:adjustRightInd w:val="0"/>
        <w:jc w:val="left"/>
        <w:rPr>
          <w:rFonts w:cs="Times New Roman"/>
          <w:color w:val="auto"/>
          <w:kern w:val="0"/>
          <w:sz w:val="28"/>
          <w:szCs w:val="28"/>
          <w:highlight w:val="none"/>
          <w:shd w:val="clear" w:color="auto" w:fill="FFFFFF"/>
        </w:rPr>
      </w:pPr>
    </w:p>
    <w:p>
      <w:pPr>
        <w:autoSpaceDE w:val="0"/>
        <w:autoSpaceDN w:val="0"/>
        <w:adjustRightInd w:val="0"/>
        <w:jc w:val="left"/>
        <w:rPr>
          <w:rFonts w:cs="Times New Roman"/>
          <w:color w:val="auto"/>
          <w:kern w:val="0"/>
          <w:sz w:val="28"/>
          <w:szCs w:val="28"/>
          <w:highlight w:val="none"/>
          <w:shd w:val="clear" w:color="auto" w:fill="FFFFFF"/>
        </w:rPr>
      </w:pPr>
    </w:p>
    <w:p>
      <w:pPr>
        <w:autoSpaceDE w:val="0"/>
        <w:autoSpaceDN w:val="0"/>
        <w:adjustRightInd w:val="0"/>
        <w:jc w:val="left"/>
        <w:rPr>
          <w:rFonts w:cs="Times New Roman"/>
          <w:color w:val="auto"/>
          <w:kern w:val="0"/>
          <w:sz w:val="28"/>
          <w:szCs w:val="28"/>
          <w:highlight w:val="none"/>
          <w:shd w:val="clear" w:color="auto" w:fill="FFFFFF"/>
        </w:rPr>
      </w:pPr>
    </w:p>
    <w:p>
      <w:pPr>
        <w:autoSpaceDE w:val="0"/>
        <w:autoSpaceDN w:val="0"/>
        <w:adjustRightInd w:val="0"/>
        <w:jc w:val="left"/>
        <w:rPr>
          <w:rFonts w:cs="Times New Roman"/>
          <w:color w:val="auto"/>
          <w:kern w:val="0"/>
          <w:sz w:val="28"/>
          <w:szCs w:val="28"/>
          <w:highlight w:val="none"/>
          <w:shd w:val="clear" w:color="auto" w:fill="FFFFFF"/>
        </w:rPr>
      </w:pPr>
    </w:p>
    <w:p>
      <w:pPr>
        <w:autoSpaceDE w:val="0"/>
        <w:autoSpaceDN w:val="0"/>
        <w:adjustRightInd w:val="0"/>
        <w:jc w:val="left"/>
        <w:rPr>
          <w:rFonts w:cs="Times New Roman"/>
          <w:color w:val="auto"/>
          <w:kern w:val="0"/>
          <w:sz w:val="28"/>
          <w:szCs w:val="28"/>
          <w:highlight w:val="none"/>
          <w:shd w:val="clear" w:color="auto" w:fill="FFFFFF"/>
        </w:rPr>
      </w:pPr>
    </w:p>
    <w:p>
      <w:pPr>
        <w:autoSpaceDE w:val="0"/>
        <w:autoSpaceDN w:val="0"/>
        <w:adjustRightInd w:val="0"/>
        <w:jc w:val="left"/>
        <w:rPr>
          <w:rFonts w:cs="Times New Roman"/>
          <w:color w:val="auto"/>
          <w:kern w:val="0"/>
          <w:sz w:val="28"/>
          <w:szCs w:val="28"/>
          <w:highlight w:val="none"/>
          <w:shd w:val="clear" w:color="auto" w:fill="FFFFFF"/>
        </w:rPr>
      </w:pPr>
    </w:p>
    <w:p>
      <w:pPr>
        <w:autoSpaceDE w:val="0"/>
        <w:autoSpaceDN w:val="0"/>
        <w:adjustRightInd w:val="0"/>
        <w:jc w:val="left"/>
        <w:rPr>
          <w:rFonts w:cs="Times New Roman"/>
          <w:color w:val="auto"/>
          <w:kern w:val="0"/>
          <w:sz w:val="28"/>
          <w:szCs w:val="28"/>
          <w:highlight w:val="none"/>
          <w:shd w:val="clear" w:color="auto" w:fill="FFFFFF"/>
        </w:rPr>
      </w:pPr>
    </w:p>
    <w:p>
      <w:pPr>
        <w:autoSpaceDE w:val="0"/>
        <w:autoSpaceDN w:val="0"/>
        <w:adjustRightInd w:val="0"/>
        <w:jc w:val="left"/>
        <w:rPr>
          <w:rFonts w:cs="Times New Roman"/>
          <w:color w:val="auto"/>
          <w:kern w:val="0"/>
          <w:sz w:val="28"/>
          <w:szCs w:val="28"/>
          <w:highlight w:val="none"/>
          <w:shd w:val="clear" w:color="auto" w:fill="FFFFFF"/>
        </w:rPr>
      </w:pPr>
    </w:p>
    <w:p>
      <w:pPr>
        <w:autoSpaceDE w:val="0"/>
        <w:autoSpaceDN w:val="0"/>
        <w:adjustRightInd w:val="0"/>
        <w:jc w:val="left"/>
        <w:rPr>
          <w:rFonts w:cs="Times New Roman"/>
          <w:color w:val="auto"/>
          <w:kern w:val="0"/>
          <w:sz w:val="28"/>
          <w:szCs w:val="28"/>
          <w:highlight w:val="none"/>
          <w:shd w:val="clear" w:color="auto" w:fill="FFFFFF"/>
        </w:rPr>
      </w:pPr>
    </w:p>
    <w:p>
      <w:pPr>
        <w:pStyle w:val="2"/>
        <w:rPr>
          <w:color w:val="auto"/>
          <w:highlight w:val="none"/>
        </w:rPr>
      </w:pPr>
      <w:bookmarkStart w:id="147" w:name="_Toc13795"/>
      <w:bookmarkStart w:id="148" w:name="_Toc21463"/>
      <w:bookmarkStart w:id="149" w:name="_Toc30957"/>
      <w:r>
        <w:rPr>
          <w:rFonts w:hint="eastAsia"/>
          <w:color w:val="auto"/>
          <w:highlight w:val="none"/>
        </w:rPr>
        <w:t>第</w:t>
      </w:r>
      <w:r>
        <w:rPr>
          <w:rFonts w:hint="eastAsia"/>
          <w:color w:val="auto"/>
          <w:highlight w:val="none"/>
          <w:lang w:eastAsia="zh-CN"/>
        </w:rPr>
        <w:t>八</w:t>
      </w:r>
      <w:r>
        <w:rPr>
          <w:rFonts w:hint="eastAsia"/>
          <w:color w:val="auto"/>
          <w:highlight w:val="none"/>
        </w:rPr>
        <w:t>章  特许经营期限届满后资产处置方式</w:t>
      </w:r>
      <w:bookmarkEnd w:id="147"/>
      <w:bookmarkEnd w:id="148"/>
      <w:bookmarkEnd w:id="149"/>
    </w:p>
    <w:p>
      <w:pPr>
        <w:spacing w:line="600" w:lineRule="exact"/>
        <w:ind w:firstLine="552" w:firstLineChars="197"/>
        <w:rPr>
          <w:rFonts w:cs="Times New Roman"/>
          <w:color w:val="auto"/>
          <w:kern w:val="0"/>
          <w:sz w:val="28"/>
          <w:szCs w:val="28"/>
          <w:highlight w:val="none"/>
          <w:shd w:val="clear" w:color="auto" w:fill="FFFFFF"/>
          <w:lang w:val="zh-CN"/>
        </w:rPr>
      </w:pPr>
      <w:r>
        <w:rPr>
          <w:rFonts w:hint="eastAsia" w:cs="Times New Roman"/>
          <w:color w:val="auto"/>
          <w:kern w:val="0"/>
          <w:sz w:val="28"/>
          <w:szCs w:val="28"/>
          <w:highlight w:val="none"/>
          <w:shd w:val="clear" w:color="auto" w:fill="FFFFFF"/>
          <w:lang w:val="zh-CN"/>
        </w:rPr>
        <w:t>特许经营期限届满后，政府依法可重新选择特许经营者，在同等条件下，本期特许经营企业拥有优先权。当本期特许经营企业在特许经营期限届满后不再具有特许经营权时，其资产须移交政府管理。</w:t>
      </w:r>
    </w:p>
    <w:p>
      <w:pPr>
        <w:pStyle w:val="3"/>
        <w:rPr>
          <w:rFonts w:asciiTheme="minorHAnsi" w:hAnsiTheme="minorHAnsi" w:eastAsiaTheme="minorEastAsia"/>
          <w:b w:val="0"/>
          <w:color w:val="auto"/>
          <w:kern w:val="0"/>
          <w:highlight w:val="none"/>
          <w:shd w:val="clear" w:color="auto" w:fill="FFFFFF"/>
          <w:lang w:val="zh-CN"/>
        </w:rPr>
      </w:pPr>
      <w:bookmarkStart w:id="150" w:name="_Toc21945"/>
      <w:bookmarkStart w:id="151" w:name="_Toc30714"/>
      <w:bookmarkStart w:id="152" w:name="_Toc29609"/>
      <w:r>
        <w:rPr>
          <w:rFonts w:hint="eastAsia"/>
          <w:color w:val="auto"/>
          <w:highlight w:val="none"/>
          <w:lang w:val="zh-CN"/>
        </w:rPr>
        <w:t>一．资产移交</w:t>
      </w:r>
      <w:bookmarkEnd w:id="150"/>
      <w:r>
        <w:rPr>
          <w:rFonts w:hint="eastAsia"/>
          <w:color w:val="auto"/>
          <w:highlight w:val="none"/>
          <w:lang w:val="zh-CN"/>
        </w:rPr>
        <w:t>补偿</w:t>
      </w:r>
      <w:bookmarkEnd w:id="151"/>
      <w:bookmarkEnd w:id="152"/>
    </w:p>
    <w:p>
      <w:pPr>
        <w:spacing w:line="600" w:lineRule="exact"/>
        <w:ind w:firstLine="552" w:firstLineChars="197"/>
        <w:rPr>
          <w:rFonts w:cs="Times New Roman"/>
          <w:color w:val="auto"/>
          <w:kern w:val="0"/>
          <w:sz w:val="28"/>
          <w:szCs w:val="28"/>
          <w:highlight w:val="none"/>
          <w:shd w:val="clear" w:color="auto" w:fill="FFFFFF"/>
          <w:lang w:val="zh-CN"/>
        </w:rPr>
      </w:pPr>
      <w:bookmarkStart w:id="153" w:name="_Toc303171545"/>
      <w:bookmarkStart w:id="154" w:name="_Toc15105"/>
      <w:bookmarkStart w:id="155" w:name="_Toc11528"/>
      <w:r>
        <w:rPr>
          <w:rFonts w:hint="eastAsia" w:cs="Times New Roman"/>
          <w:color w:val="auto"/>
          <w:kern w:val="0"/>
          <w:sz w:val="28"/>
          <w:szCs w:val="28"/>
          <w:highlight w:val="none"/>
          <w:shd w:val="clear" w:color="auto" w:fill="FFFFFF"/>
          <w:lang w:val="zh-CN"/>
        </w:rPr>
        <w:t>本项目对资产的归属采取谁投资谁所有的原则，资产处置以特许经营企业和政府双方认定的中介机构对项目公司进行资产评估而出具双方认可的评估价格为依据，当项目资产需要移交时，本期特许经营企业</w:t>
      </w:r>
      <w:r>
        <w:rPr>
          <w:rFonts w:hint="eastAsia" w:cs="Times New Roman"/>
          <w:color w:val="auto"/>
          <w:kern w:val="0"/>
          <w:sz w:val="28"/>
          <w:szCs w:val="28"/>
          <w:highlight w:val="none"/>
          <w:shd w:val="clear" w:color="auto" w:fill="FFFFFF"/>
          <w:lang w:val="en-US" w:eastAsia="zh-CN"/>
        </w:rPr>
        <w:t>在此基础上以其认可的价格</w:t>
      </w:r>
      <w:r>
        <w:rPr>
          <w:rFonts w:hint="eastAsia" w:cs="Times New Roman"/>
          <w:color w:val="auto"/>
          <w:kern w:val="0"/>
          <w:sz w:val="28"/>
          <w:szCs w:val="28"/>
          <w:highlight w:val="none"/>
          <w:shd w:val="clear" w:color="auto" w:fill="FFFFFF"/>
          <w:lang w:val="zh-CN"/>
        </w:rPr>
        <w:t>获得补偿。</w:t>
      </w:r>
    </w:p>
    <w:p>
      <w:pPr>
        <w:pStyle w:val="3"/>
        <w:rPr>
          <w:color w:val="auto"/>
          <w:highlight w:val="none"/>
          <w:lang w:val="zh-CN"/>
        </w:rPr>
      </w:pPr>
      <w:bookmarkStart w:id="156" w:name="_Toc1804"/>
      <w:r>
        <w:rPr>
          <w:rFonts w:hint="eastAsia"/>
          <w:color w:val="auto"/>
          <w:highlight w:val="none"/>
          <w:lang w:val="zh-CN"/>
        </w:rPr>
        <w:t>二．资产移交</w:t>
      </w:r>
      <w:bookmarkEnd w:id="153"/>
      <w:r>
        <w:rPr>
          <w:rFonts w:hint="eastAsia"/>
          <w:color w:val="auto"/>
          <w:highlight w:val="none"/>
          <w:lang w:val="zh-CN"/>
        </w:rPr>
        <w:t>办法</w:t>
      </w:r>
      <w:bookmarkEnd w:id="154"/>
      <w:bookmarkEnd w:id="155"/>
      <w:bookmarkEnd w:id="156"/>
    </w:p>
    <w:p>
      <w:pPr>
        <w:spacing w:line="600" w:lineRule="exact"/>
        <w:ind w:firstLine="552" w:firstLineChars="197"/>
        <w:rPr>
          <w:rFonts w:cs="Times New Roman"/>
          <w:color w:val="auto"/>
          <w:kern w:val="0"/>
          <w:sz w:val="28"/>
          <w:szCs w:val="28"/>
          <w:highlight w:val="none"/>
          <w:shd w:val="clear" w:color="auto" w:fill="FFFFFF"/>
          <w:lang w:val="zh-CN"/>
        </w:rPr>
      </w:pPr>
      <w:r>
        <w:rPr>
          <w:rFonts w:hint="eastAsia" w:cs="Times New Roman"/>
          <w:color w:val="auto"/>
          <w:kern w:val="0"/>
          <w:sz w:val="28"/>
          <w:szCs w:val="28"/>
          <w:highlight w:val="none"/>
          <w:shd w:val="clear" w:color="auto" w:fill="FFFFFF"/>
          <w:lang w:val="zh-CN"/>
        </w:rPr>
        <w:t>如特许经营权发生变更，本期特许经营企业资产都应在规定的时间内按特许经营协议要求移交给</w:t>
      </w:r>
      <w:r>
        <w:rPr>
          <w:rFonts w:hint="eastAsia" w:cs="Times New Roman"/>
          <w:color w:val="auto"/>
          <w:kern w:val="0"/>
          <w:sz w:val="28"/>
          <w:szCs w:val="28"/>
          <w:highlight w:val="none"/>
          <w:shd w:val="clear" w:color="auto" w:fill="FFFFFF"/>
          <w:lang w:val="en-US" w:eastAsia="zh-CN"/>
        </w:rPr>
        <w:t>阳山县燃气行政主管部门或新的供气主体</w:t>
      </w:r>
      <w:r>
        <w:rPr>
          <w:rFonts w:hint="eastAsia" w:cs="Times New Roman"/>
          <w:color w:val="auto"/>
          <w:kern w:val="0"/>
          <w:sz w:val="28"/>
          <w:szCs w:val="28"/>
          <w:highlight w:val="none"/>
          <w:shd w:val="clear" w:color="auto" w:fill="FFFFFF"/>
          <w:lang w:val="zh-CN"/>
        </w:rPr>
        <w:t>。在本期特许经营企业资产实际移交给</w:t>
      </w:r>
      <w:r>
        <w:rPr>
          <w:rFonts w:hint="eastAsia" w:cs="Times New Roman"/>
          <w:color w:val="auto"/>
          <w:kern w:val="0"/>
          <w:sz w:val="28"/>
          <w:szCs w:val="28"/>
          <w:highlight w:val="none"/>
          <w:shd w:val="clear" w:color="auto" w:fill="FFFFFF"/>
          <w:lang w:val="en-US" w:eastAsia="zh-CN"/>
        </w:rPr>
        <w:t>移交给阳山县燃气行政主管部门或新的供气主体</w:t>
      </w:r>
      <w:r>
        <w:rPr>
          <w:rFonts w:hint="eastAsia" w:cs="Times New Roman"/>
          <w:color w:val="auto"/>
          <w:kern w:val="0"/>
          <w:sz w:val="28"/>
          <w:szCs w:val="28"/>
          <w:highlight w:val="none"/>
          <w:shd w:val="clear" w:color="auto" w:fill="FFFFFF"/>
          <w:lang w:val="zh-CN" w:eastAsia="zh-CN"/>
        </w:rPr>
        <w:t>前，企业应保证正常供气和服务的连续性。</w:t>
      </w:r>
      <w:r>
        <w:rPr>
          <w:rFonts w:hint="eastAsia" w:cs="Times New Roman"/>
          <w:color w:val="auto"/>
          <w:kern w:val="0"/>
          <w:sz w:val="28"/>
          <w:szCs w:val="28"/>
          <w:highlight w:val="none"/>
          <w:shd w:val="clear" w:color="auto" w:fill="FFFFFF"/>
          <w:lang w:val="en-US" w:eastAsia="zh-CN"/>
        </w:rPr>
        <w:t>资产</w:t>
      </w:r>
      <w:r>
        <w:rPr>
          <w:rFonts w:hint="eastAsia" w:cs="Times New Roman"/>
          <w:color w:val="auto"/>
          <w:kern w:val="0"/>
          <w:sz w:val="28"/>
          <w:szCs w:val="28"/>
          <w:highlight w:val="none"/>
          <w:shd w:val="clear" w:color="auto" w:fill="FFFFFF"/>
          <w:lang w:val="zh-CN" w:eastAsia="zh-CN"/>
        </w:rPr>
        <w:t>移交范围包括：</w:t>
      </w:r>
    </w:p>
    <w:p>
      <w:pPr>
        <w:spacing w:line="600" w:lineRule="exact"/>
        <w:ind w:firstLine="552" w:firstLineChars="197"/>
        <w:rPr>
          <w:rFonts w:cs="Times New Roman"/>
          <w:color w:val="auto"/>
          <w:kern w:val="0"/>
          <w:sz w:val="28"/>
          <w:szCs w:val="28"/>
          <w:highlight w:val="none"/>
          <w:shd w:val="clear" w:color="auto" w:fill="FFFFFF"/>
          <w:lang w:val="zh-CN"/>
        </w:rPr>
      </w:pPr>
      <w:r>
        <w:rPr>
          <w:rFonts w:hint="eastAsia" w:cs="Times New Roman"/>
          <w:color w:val="auto"/>
          <w:kern w:val="0"/>
          <w:sz w:val="28"/>
          <w:szCs w:val="28"/>
          <w:highlight w:val="none"/>
          <w:shd w:val="clear" w:color="auto" w:fill="FFFFFF"/>
        </w:rPr>
        <w:t>1.</w:t>
      </w:r>
      <w:r>
        <w:rPr>
          <w:rFonts w:hint="eastAsia" w:cs="Times New Roman"/>
          <w:color w:val="auto"/>
          <w:kern w:val="0"/>
          <w:sz w:val="28"/>
          <w:szCs w:val="28"/>
          <w:highlight w:val="none"/>
          <w:shd w:val="clear" w:color="auto" w:fill="FFFFFF"/>
          <w:lang w:val="zh-CN"/>
        </w:rPr>
        <w:t>归属于特许经营企业的项目设施的建筑物、构筑物和设施；</w:t>
      </w:r>
    </w:p>
    <w:p>
      <w:pPr>
        <w:spacing w:line="600" w:lineRule="exact"/>
        <w:ind w:firstLine="552" w:firstLineChars="197"/>
        <w:rPr>
          <w:rFonts w:cs="Times New Roman"/>
          <w:color w:val="auto"/>
          <w:kern w:val="0"/>
          <w:sz w:val="28"/>
          <w:szCs w:val="28"/>
          <w:highlight w:val="none"/>
          <w:shd w:val="clear" w:color="auto" w:fill="FFFFFF"/>
          <w:lang w:val="zh-CN"/>
        </w:rPr>
      </w:pPr>
      <w:r>
        <w:rPr>
          <w:rFonts w:hint="eastAsia" w:cs="Times New Roman"/>
          <w:color w:val="auto"/>
          <w:kern w:val="0"/>
          <w:sz w:val="28"/>
          <w:szCs w:val="28"/>
          <w:highlight w:val="none"/>
          <w:shd w:val="clear" w:color="auto" w:fill="FFFFFF"/>
        </w:rPr>
        <w:t>2.</w:t>
      </w:r>
      <w:r>
        <w:rPr>
          <w:rFonts w:hint="eastAsia" w:cs="Times New Roman"/>
          <w:color w:val="auto"/>
          <w:kern w:val="0"/>
          <w:sz w:val="28"/>
          <w:szCs w:val="28"/>
          <w:highlight w:val="none"/>
          <w:shd w:val="clear" w:color="auto" w:fill="FFFFFF"/>
          <w:lang w:val="zh-CN"/>
        </w:rPr>
        <w:t>与项目设施的运营维护相关使用的所有机械、设备、装置、零部件、备品备件、化学品以及其他动产；</w:t>
      </w:r>
    </w:p>
    <w:p>
      <w:pPr>
        <w:spacing w:line="600" w:lineRule="exact"/>
        <w:ind w:firstLine="552" w:firstLineChars="197"/>
        <w:rPr>
          <w:rFonts w:eastAsia="仿宋_GB2312"/>
          <w:color w:val="auto"/>
          <w:sz w:val="24"/>
          <w:highlight w:val="none"/>
        </w:rPr>
      </w:pPr>
      <w:r>
        <w:rPr>
          <w:rFonts w:hint="eastAsia" w:cs="Times New Roman"/>
          <w:color w:val="auto"/>
          <w:kern w:val="0"/>
          <w:sz w:val="28"/>
          <w:szCs w:val="28"/>
          <w:highlight w:val="none"/>
          <w:shd w:val="clear" w:color="auto" w:fill="FFFFFF"/>
        </w:rPr>
        <w:t>3.</w:t>
      </w:r>
      <w:r>
        <w:rPr>
          <w:rFonts w:hint="eastAsia" w:cs="Times New Roman"/>
          <w:color w:val="auto"/>
          <w:kern w:val="0"/>
          <w:sz w:val="28"/>
          <w:szCs w:val="28"/>
          <w:highlight w:val="none"/>
          <w:shd w:val="clear" w:color="auto" w:fill="FFFFFF"/>
          <w:lang w:val="zh-CN"/>
        </w:rPr>
        <w:t>在运营期内为项目设施的运营而购置和取得的资产、货物、无形资产等财产</w:t>
      </w:r>
      <w:r>
        <w:rPr>
          <w:rFonts w:eastAsia="仿宋_GB2312"/>
          <w:color w:val="auto"/>
          <w:sz w:val="24"/>
          <w:highlight w:val="none"/>
        </w:rPr>
        <w:t>；</w:t>
      </w:r>
    </w:p>
    <w:p>
      <w:pPr>
        <w:pStyle w:val="11"/>
        <w:spacing w:before="150" w:after="156" w:line="600" w:lineRule="exact"/>
        <w:ind w:firstLine="0" w:firstLineChars="0"/>
        <w:rPr>
          <w:color w:val="auto"/>
          <w:sz w:val="32"/>
          <w:szCs w:val="32"/>
          <w:highlight w:val="none"/>
        </w:rPr>
      </w:pPr>
      <w:r>
        <w:rPr>
          <w:rFonts w:hint="eastAsia" w:cs="Times New Roman"/>
          <w:color w:val="auto"/>
          <w:kern w:val="0"/>
          <w:sz w:val="28"/>
          <w:szCs w:val="28"/>
          <w:highlight w:val="none"/>
          <w:shd w:val="clear" w:color="auto" w:fill="FFFFFF"/>
        </w:rPr>
        <w:t xml:space="preserve">     4.</w:t>
      </w:r>
      <w:r>
        <w:rPr>
          <w:rFonts w:hint="eastAsia" w:cs="Times New Roman"/>
          <w:color w:val="auto"/>
          <w:kern w:val="0"/>
          <w:sz w:val="28"/>
          <w:szCs w:val="28"/>
          <w:highlight w:val="none"/>
          <w:shd w:val="clear" w:color="auto" w:fill="FFFFFF"/>
          <w:lang w:val="zh-CN"/>
        </w:rPr>
        <w:t>所有尚未到期的可以转让的保证、保险和其它合同的利益。</w:t>
      </w:r>
    </w:p>
    <w:sectPr>
      <w:headerReference r:id="rId3" w:type="default"/>
      <w:footerReference r:id="rId4" w:type="default"/>
      <w:pgSz w:w="11906" w:h="16838"/>
      <w:pgMar w:top="1440" w:right="1416" w:bottom="1440" w:left="156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TTF46827ACtCID-WinCharSetFFFF-H">
    <w:altName w:val="Times New Roman"/>
    <w:panose1 w:val="00000000000000000000"/>
    <w:charset w:val="01"/>
    <w:family w:val="roman"/>
    <w:pitch w:val="default"/>
    <w:sig w:usb0="00000000" w:usb1="00000000" w:usb2="00000000" w:usb3="00000000" w:csb0="000001FF" w:csb1="00000000"/>
  </w:font>
  <w:font w:name="仿宋_GB2312">
    <w:altName w:val="仿宋"/>
    <w:panose1 w:val="02010609030101010101"/>
    <w:charset w:val="86"/>
    <w:family w:val="modern"/>
    <w:pitch w:val="default"/>
    <w:sig w:usb0="00000000" w:usb1="00000000" w:usb2="00000010" w:usb3="00000000" w:csb0="00040000" w:csb1="00000000"/>
  </w:font>
  <w:font w:name="Calibri Light">
    <w:altName w:val="Calibri"/>
    <w:panose1 w:val="020F0302020204030204"/>
    <w:charset w:val="00"/>
    <w:family w:val="swiss"/>
    <w:pitch w:val="default"/>
    <w:sig w:usb0="00000000" w:usb1="00000000" w:usb2="00000000" w:usb3="00000000" w:csb0="0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font>
  <w:font w:name="方正兰亭超细黑简体">
    <w:altName w:val="黑体"/>
    <w:panose1 w:val="02000000000000000000"/>
    <w:charset w:val="86"/>
    <w:family w:val="auto"/>
    <w:pitch w:val="default"/>
    <w:sig w:usb0="00000000" w:usb1="00000000" w:usb2="00000000" w:usb3="00000000" w:csb0="00040000" w:csb1="00000000"/>
  </w:font>
  <w:font w:name="Arial">
    <w:panose1 w:val="020B0604020202020204"/>
    <w:charset w:val="00"/>
    <w:family w:val="swiss"/>
    <w:pitch w:val="default"/>
    <w:sig w:usb0="E0002AFF" w:usb1="C0007843" w:usb2="00000009" w:usb3="00000000" w:csb0="400001FF" w:csb1="FFFF0000"/>
  </w:font>
  <w:font w:name="楷体_GB2312">
    <w:altName w:val="楷体"/>
    <w:panose1 w:val="02010609030101010101"/>
    <w:charset w:val="86"/>
    <w:family w:val="modern"/>
    <w:pitch w:val="default"/>
    <w:sig w:usb0="00000000" w:usb1="00000000" w:usb2="00000010" w:usb3="00000000" w:csb0="00040000" w:csb1="00000000"/>
  </w:font>
  <w:font w:name="Courier New">
    <w:panose1 w:val="02070309020205020404"/>
    <w:charset w:val="00"/>
    <w:family w:val="modern"/>
    <w:pitch w:val="default"/>
    <w:sig w:usb0="E0002AFF" w:usb1="C0007843" w:usb2="00000009" w:usb3="00000000" w:csb0="400001FF" w:csb1="FFFF0000"/>
  </w:font>
  <w:font w:name="隶书">
    <w:altName w:val="微软雅黑"/>
    <w:panose1 w:val="02010509060101010101"/>
    <w:charset w:val="86"/>
    <w:family w:val="modern"/>
    <w:pitch w:val="default"/>
    <w:sig w:usb0="00000000" w:usb1="00000000" w:usb2="00000010" w:usb3="00000000" w:csb0="00040000" w:csb1="00000000"/>
  </w:font>
  <w:font w:name="幼圆">
    <w:altName w:val="宋体"/>
    <w:panose1 w:val="0201050906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right="360"/>
      <w:rPr>
        <w:sz w:val="21"/>
        <w:szCs w:val="21"/>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align>top</wp:align>
              </wp:positionV>
              <wp:extent cx="1828800" cy="182880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15"/>
                            <w:pBdr>
                              <w:between w:val="none" w:color="auto" w:sz="50" w:space="0"/>
                            </w:pBdr>
                            <w:jc w:val="center"/>
                          </w:pPr>
                          <w:r>
                            <w:fldChar w:fldCharType="begin"/>
                          </w:r>
                          <w:r>
                            <w:instrText xml:space="preserve"> PAGE  </w:instrText>
                          </w:r>
                          <w:r>
                            <w:fldChar w:fldCharType="separate"/>
                          </w:r>
                          <w:r>
                            <w:t>35</w:t>
                          </w:r>
                          <w:r>
                            <w:fldChar w:fldCharType="end"/>
                          </w:r>
                        </w:p>
                      </w:txbxContent>
                    </wps:txbx>
                    <wps:bodyPr wrap="none" lIns="0" tIns="0" rIns="0" bIns="0" upright="1">
                      <a:spAutoFit/>
                    </wps:bodyPr>
                  </wps:wsp>
                </a:graphicData>
              </a:graphic>
            </wp:anchor>
          </w:drawing>
        </mc:Choice>
        <mc:Fallback>
          <w:pict>
            <v:shape id="文本框 1026" o:spid="_x0000_s1026" o:spt="202" type="#_x0000_t202" style="position:absolute;left:0pt;height:144pt;width:144pt;mso-position-horizontal:center;mso-position-horizontal-relative:margin;mso-position-vertical:top;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M6p&#10;ebnPAAAABQEAAA8AAAAAAAAAAQAgAAAAIgAAAGRycy9kb3ducmV2LnhtbFBLAQIUABQAAAAIAIdO&#10;4kAVb8oDugEAAFcDAAAOAAAAAAAAAAEAIAAAAB4BAABkcnMvZTJvRG9jLnhtbFBLBQYAAAAABgAG&#10;AFkBAABKBQAAAAA=&#10;">
              <v:fill on="f" focussize="0,0"/>
              <v:stroke on="f"/>
              <v:imagedata o:title=""/>
              <o:lock v:ext="edit" aspectratio="f"/>
              <v:textbox inset="0mm,0mm,0mm,0mm" style="mso-fit-shape-to-text:t;">
                <w:txbxContent>
                  <w:p>
                    <w:pPr>
                      <w:pStyle w:val="15"/>
                      <w:pBdr>
                        <w:between w:val="none" w:color="auto" w:sz="50" w:space="0"/>
                      </w:pBdr>
                      <w:jc w:val="center"/>
                    </w:pPr>
                    <w:r>
                      <w:fldChar w:fldCharType="begin"/>
                    </w:r>
                    <w:r>
                      <w:instrText xml:space="preserve"> PAGE  </w:instrText>
                    </w:r>
                    <w:r>
                      <w:fldChar w:fldCharType="separate"/>
                    </w:r>
                    <w:r>
                      <w:t>35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single" w:color="auto" w:sz="4" w:space="1"/>
      </w:pBdr>
      <w:jc w:val="both"/>
      <w:rPr>
        <w:sz w:val="24"/>
      </w:rPr>
    </w:pPr>
    <w:r>
      <w:rPr>
        <w:rFonts w:hint="eastAsia"/>
      </w:rPr>
      <w:t>阳山县管道燃气特许经营项目实施方案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5145E7"/>
    <w:multiLevelType w:val="singleLevel"/>
    <w:tmpl w:val="575145E7"/>
    <w:lvl w:ilvl="0" w:tentative="0">
      <w:start w:val="1"/>
      <w:numFmt w:val="decimal"/>
      <w:suff w:val="nothing"/>
      <w:lvlText w:val="（%1）"/>
      <w:lvlJc w:val="left"/>
    </w:lvl>
  </w:abstractNum>
  <w:abstractNum w:abstractNumId="1">
    <w:nsid w:val="57514AA0"/>
    <w:multiLevelType w:val="singleLevel"/>
    <w:tmpl w:val="57514AA0"/>
    <w:lvl w:ilvl="0" w:tentative="0">
      <w:start w:val="1"/>
      <w:numFmt w:val="decimal"/>
      <w:suff w:val="nothing"/>
      <w:lvlText w:val="（%1）"/>
      <w:lvlJc w:val="left"/>
    </w:lvl>
  </w:abstractNum>
  <w:abstractNum w:abstractNumId="2">
    <w:nsid w:val="5754E7E6"/>
    <w:multiLevelType w:val="singleLevel"/>
    <w:tmpl w:val="5754E7E6"/>
    <w:lvl w:ilvl="0" w:tentative="0">
      <w:start w:val="1"/>
      <w:numFmt w:val="decimal"/>
      <w:suff w:val="nothing"/>
      <w:lvlText w:val="（%1）"/>
      <w:lvlJc w:val="left"/>
    </w:lvl>
  </w:abstractNum>
  <w:abstractNum w:abstractNumId="3">
    <w:nsid w:val="57844199"/>
    <w:multiLevelType w:val="singleLevel"/>
    <w:tmpl w:val="57844199"/>
    <w:lvl w:ilvl="0" w:tentative="0">
      <w:start w:val="2"/>
      <w:numFmt w:val="chineseCounting"/>
      <w:suff w:val="space"/>
      <w:lvlText w:val="第%1章"/>
      <w:lvlJc w:val="left"/>
    </w:lvl>
  </w:abstractNum>
  <w:abstractNum w:abstractNumId="4">
    <w:nsid w:val="578734C4"/>
    <w:multiLevelType w:val="singleLevel"/>
    <w:tmpl w:val="578734C4"/>
    <w:lvl w:ilvl="0" w:tentative="0">
      <w:start w:val="1"/>
      <w:numFmt w:val="decimal"/>
      <w:suff w:val="nothing"/>
      <w:lvlText w:val="（%1）"/>
      <w:lvlJc w:val="left"/>
    </w:lvl>
  </w:abstractNum>
  <w:abstractNum w:abstractNumId="5">
    <w:nsid w:val="5791DF3C"/>
    <w:multiLevelType w:val="singleLevel"/>
    <w:tmpl w:val="5791DF3C"/>
    <w:lvl w:ilvl="0" w:tentative="0">
      <w:start w:val="2"/>
      <w:numFmt w:val="decimal"/>
      <w:suff w:val="nothing"/>
      <w:lvlText w:val="%1."/>
      <w:lvlJc w:val="left"/>
    </w:lvl>
  </w:abstractNum>
  <w:num w:numId="1">
    <w:abstractNumId w:val="4"/>
  </w:num>
  <w:num w:numId="2">
    <w:abstractNumId w:val="3"/>
  </w:num>
  <w:num w:numId="3">
    <w:abstractNumId w:val="0"/>
  </w:num>
  <w:num w:numId="4">
    <w:abstractNumId w:val="1"/>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3"/>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E03DEC"/>
    <w:rsid w:val="00014DB6"/>
    <w:rsid w:val="000266F3"/>
    <w:rsid w:val="00033C6A"/>
    <w:rsid w:val="0006783B"/>
    <w:rsid w:val="0008227C"/>
    <w:rsid w:val="00083A13"/>
    <w:rsid w:val="000867E9"/>
    <w:rsid w:val="000930F8"/>
    <w:rsid w:val="000A1FDB"/>
    <w:rsid w:val="000A35E2"/>
    <w:rsid w:val="000A41CB"/>
    <w:rsid w:val="000B62A6"/>
    <w:rsid w:val="000E4B9E"/>
    <w:rsid w:val="000F1E02"/>
    <w:rsid w:val="00100591"/>
    <w:rsid w:val="00106765"/>
    <w:rsid w:val="00124BFD"/>
    <w:rsid w:val="00140AFE"/>
    <w:rsid w:val="00156ABD"/>
    <w:rsid w:val="00176EF2"/>
    <w:rsid w:val="001B47F8"/>
    <w:rsid w:val="001C0E64"/>
    <w:rsid w:val="00240AAA"/>
    <w:rsid w:val="00240EE9"/>
    <w:rsid w:val="00250A90"/>
    <w:rsid w:val="00265860"/>
    <w:rsid w:val="0028469B"/>
    <w:rsid w:val="002847A9"/>
    <w:rsid w:val="002F2376"/>
    <w:rsid w:val="0031056E"/>
    <w:rsid w:val="00316503"/>
    <w:rsid w:val="00316B5F"/>
    <w:rsid w:val="003203D8"/>
    <w:rsid w:val="00324367"/>
    <w:rsid w:val="0036639F"/>
    <w:rsid w:val="003805F6"/>
    <w:rsid w:val="00381C3C"/>
    <w:rsid w:val="00391BA8"/>
    <w:rsid w:val="003C4829"/>
    <w:rsid w:val="003F1620"/>
    <w:rsid w:val="004116AE"/>
    <w:rsid w:val="004209E0"/>
    <w:rsid w:val="004274CE"/>
    <w:rsid w:val="00455048"/>
    <w:rsid w:val="00461AC6"/>
    <w:rsid w:val="0049009B"/>
    <w:rsid w:val="00496B62"/>
    <w:rsid w:val="004F2993"/>
    <w:rsid w:val="004F63B2"/>
    <w:rsid w:val="00500355"/>
    <w:rsid w:val="005070B9"/>
    <w:rsid w:val="00513593"/>
    <w:rsid w:val="0052571A"/>
    <w:rsid w:val="005578E7"/>
    <w:rsid w:val="005823ED"/>
    <w:rsid w:val="005B5421"/>
    <w:rsid w:val="005F0847"/>
    <w:rsid w:val="0062591F"/>
    <w:rsid w:val="006914DC"/>
    <w:rsid w:val="00696681"/>
    <w:rsid w:val="006B298C"/>
    <w:rsid w:val="007109FE"/>
    <w:rsid w:val="00717C6A"/>
    <w:rsid w:val="00726045"/>
    <w:rsid w:val="00747DE8"/>
    <w:rsid w:val="007C6D8A"/>
    <w:rsid w:val="008036C0"/>
    <w:rsid w:val="0083267A"/>
    <w:rsid w:val="00882BD2"/>
    <w:rsid w:val="008C47ED"/>
    <w:rsid w:val="008D71B5"/>
    <w:rsid w:val="008E2EBC"/>
    <w:rsid w:val="00943C45"/>
    <w:rsid w:val="009644F5"/>
    <w:rsid w:val="0096661C"/>
    <w:rsid w:val="009834B5"/>
    <w:rsid w:val="009908A3"/>
    <w:rsid w:val="009A3342"/>
    <w:rsid w:val="009A3E1C"/>
    <w:rsid w:val="009A5818"/>
    <w:rsid w:val="009B66CB"/>
    <w:rsid w:val="009C1497"/>
    <w:rsid w:val="009C4A36"/>
    <w:rsid w:val="009C609A"/>
    <w:rsid w:val="009D02E5"/>
    <w:rsid w:val="00A10E70"/>
    <w:rsid w:val="00A13000"/>
    <w:rsid w:val="00A1416D"/>
    <w:rsid w:val="00A17B3F"/>
    <w:rsid w:val="00A236A0"/>
    <w:rsid w:val="00A43728"/>
    <w:rsid w:val="00A45E41"/>
    <w:rsid w:val="00A83DC8"/>
    <w:rsid w:val="00AF7BE1"/>
    <w:rsid w:val="00B65231"/>
    <w:rsid w:val="00BA5AF9"/>
    <w:rsid w:val="00BD3855"/>
    <w:rsid w:val="00BE196F"/>
    <w:rsid w:val="00C027BC"/>
    <w:rsid w:val="00C4488C"/>
    <w:rsid w:val="00C818F8"/>
    <w:rsid w:val="00C86470"/>
    <w:rsid w:val="00CA08A6"/>
    <w:rsid w:val="00CA4E7B"/>
    <w:rsid w:val="00CC627F"/>
    <w:rsid w:val="00D632C6"/>
    <w:rsid w:val="00D7312B"/>
    <w:rsid w:val="00D73240"/>
    <w:rsid w:val="00DD7ED2"/>
    <w:rsid w:val="00DF472C"/>
    <w:rsid w:val="00E03702"/>
    <w:rsid w:val="00E33521"/>
    <w:rsid w:val="00E43E17"/>
    <w:rsid w:val="00E52E02"/>
    <w:rsid w:val="00E5368C"/>
    <w:rsid w:val="00EC26E7"/>
    <w:rsid w:val="00F13624"/>
    <w:rsid w:val="00F30848"/>
    <w:rsid w:val="00FB6358"/>
    <w:rsid w:val="00FC4A37"/>
    <w:rsid w:val="01C508CB"/>
    <w:rsid w:val="01C80DFE"/>
    <w:rsid w:val="02E4631E"/>
    <w:rsid w:val="06350807"/>
    <w:rsid w:val="07456A66"/>
    <w:rsid w:val="07F030AB"/>
    <w:rsid w:val="0AF43EAC"/>
    <w:rsid w:val="0BF81403"/>
    <w:rsid w:val="11D02FAB"/>
    <w:rsid w:val="126672C6"/>
    <w:rsid w:val="14D40CB2"/>
    <w:rsid w:val="165F1BE1"/>
    <w:rsid w:val="1A0E07CE"/>
    <w:rsid w:val="1A1D61F2"/>
    <w:rsid w:val="1A251EBC"/>
    <w:rsid w:val="1A9A7970"/>
    <w:rsid w:val="1B01003A"/>
    <w:rsid w:val="1B1C381B"/>
    <w:rsid w:val="1CE47645"/>
    <w:rsid w:val="1DD26395"/>
    <w:rsid w:val="1E0A631B"/>
    <w:rsid w:val="205306E3"/>
    <w:rsid w:val="23E606A1"/>
    <w:rsid w:val="24DE3A4A"/>
    <w:rsid w:val="25DD4DB7"/>
    <w:rsid w:val="298D2AC8"/>
    <w:rsid w:val="2B356595"/>
    <w:rsid w:val="2B633C9C"/>
    <w:rsid w:val="2D1E4AD3"/>
    <w:rsid w:val="2E525063"/>
    <w:rsid w:val="30AF0C4C"/>
    <w:rsid w:val="34216446"/>
    <w:rsid w:val="34F712C9"/>
    <w:rsid w:val="37C827A0"/>
    <w:rsid w:val="38783FD0"/>
    <w:rsid w:val="39BA522C"/>
    <w:rsid w:val="3A7F6219"/>
    <w:rsid w:val="3E5B311D"/>
    <w:rsid w:val="3F97353D"/>
    <w:rsid w:val="3FAC1220"/>
    <w:rsid w:val="3FE03DEC"/>
    <w:rsid w:val="417D2BE7"/>
    <w:rsid w:val="42641D39"/>
    <w:rsid w:val="42822B09"/>
    <w:rsid w:val="42855340"/>
    <w:rsid w:val="4300074D"/>
    <w:rsid w:val="43605B27"/>
    <w:rsid w:val="43693BF7"/>
    <w:rsid w:val="454830C5"/>
    <w:rsid w:val="45726724"/>
    <w:rsid w:val="45DD09F2"/>
    <w:rsid w:val="48D63B1A"/>
    <w:rsid w:val="4A1C02FD"/>
    <w:rsid w:val="4B3060F6"/>
    <w:rsid w:val="4BD4598E"/>
    <w:rsid w:val="4C0F645A"/>
    <w:rsid w:val="4CB208BE"/>
    <w:rsid w:val="4EBF53DF"/>
    <w:rsid w:val="508C3BD8"/>
    <w:rsid w:val="50AA1F32"/>
    <w:rsid w:val="527714AA"/>
    <w:rsid w:val="52C86C05"/>
    <w:rsid w:val="52D7746C"/>
    <w:rsid w:val="546E1994"/>
    <w:rsid w:val="55443FEE"/>
    <w:rsid w:val="58801849"/>
    <w:rsid w:val="6038113A"/>
    <w:rsid w:val="609D73C1"/>
    <w:rsid w:val="62DA4025"/>
    <w:rsid w:val="667D1F54"/>
    <w:rsid w:val="66954A53"/>
    <w:rsid w:val="673343CE"/>
    <w:rsid w:val="681A0F23"/>
    <w:rsid w:val="6A703C19"/>
    <w:rsid w:val="6B4736B6"/>
    <w:rsid w:val="6C0321EA"/>
    <w:rsid w:val="71A54832"/>
    <w:rsid w:val="73901445"/>
    <w:rsid w:val="7436347B"/>
    <w:rsid w:val="745B2747"/>
    <w:rsid w:val="74BC34E6"/>
    <w:rsid w:val="75650B0C"/>
    <w:rsid w:val="76927E1D"/>
    <w:rsid w:val="7C382E06"/>
    <w:rsid w:val="7F33091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line="576" w:lineRule="auto"/>
      <w:jc w:val="center"/>
      <w:outlineLvl w:val="0"/>
    </w:pPr>
    <w:rPr>
      <w:b/>
      <w:kern w:val="44"/>
      <w:sz w:val="32"/>
    </w:rPr>
  </w:style>
  <w:style w:type="paragraph" w:styleId="3">
    <w:name w:val="heading 2"/>
    <w:basedOn w:val="1"/>
    <w:next w:val="1"/>
    <w:link w:val="32"/>
    <w:qFormat/>
    <w:uiPriority w:val="0"/>
    <w:pPr>
      <w:keepNext/>
      <w:keepLines/>
      <w:spacing w:line="324" w:lineRule="auto"/>
      <w:outlineLvl w:val="1"/>
    </w:pPr>
    <w:rPr>
      <w:rFonts w:ascii="黑体" w:hAnsi="Times New Roman" w:eastAsia="黑体" w:cs="Times New Roman"/>
      <w:b/>
      <w:sz w:val="28"/>
      <w:szCs w:val="28"/>
    </w:rPr>
  </w:style>
  <w:style w:type="paragraph" w:styleId="4">
    <w:name w:val="heading 3"/>
    <w:basedOn w:val="1"/>
    <w:next w:val="1"/>
    <w:link w:val="33"/>
    <w:qFormat/>
    <w:uiPriority w:val="0"/>
    <w:pPr>
      <w:keepNext/>
      <w:keepLines/>
      <w:spacing w:line="324" w:lineRule="auto"/>
      <w:outlineLvl w:val="2"/>
    </w:pPr>
    <w:rPr>
      <w:rFonts w:ascii="宋体" w:hAnsi="Times New Roman" w:eastAsia="宋体" w:cs="Times New Roman"/>
      <w:b/>
      <w:kern w:val="0"/>
      <w:sz w:val="24"/>
      <w:szCs w:val="20"/>
    </w:rPr>
  </w:style>
  <w:style w:type="character" w:default="1" w:styleId="23">
    <w:name w:val="Default Paragraph Font"/>
    <w:unhideWhenUsed/>
    <w:qFormat/>
    <w:uiPriority w:val="1"/>
  </w:style>
  <w:style w:type="table" w:default="1" w:styleId="28">
    <w:name w:val="Normal Table"/>
    <w:unhideWhenUsed/>
    <w:qFormat/>
    <w:uiPriority w:val="99"/>
    <w:tblPr>
      <w:tblLayout w:type="fixed"/>
      <w:tblCellMar>
        <w:top w:w="0" w:type="dxa"/>
        <w:left w:w="108" w:type="dxa"/>
        <w:bottom w:w="0" w:type="dxa"/>
        <w:right w:w="108" w:type="dxa"/>
      </w:tblCellMar>
    </w:tblPr>
  </w:style>
  <w:style w:type="paragraph" w:styleId="5">
    <w:name w:val="annotation subject"/>
    <w:basedOn w:val="6"/>
    <w:next w:val="6"/>
    <w:link w:val="38"/>
    <w:qFormat/>
    <w:uiPriority w:val="0"/>
    <w:rPr>
      <w:b/>
      <w:bCs/>
    </w:rPr>
  </w:style>
  <w:style w:type="paragraph" w:styleId="6">
    <w:name w:val="annotation text"/>
    <w:basedOn w:val="1"/>
    <w:link w:val="37"/>
    <w:qFormat/>
    <w:uiPriority w:val="0"/>
    <w:pPr>
      <w:jc w:val="left"/>
    </w:pPr>
  </w:style>
  <w:style w:type="paragraph" w:styleId="7">
    <w:name w:val="toc 7"/>
    <w:basedOn w:val="1"/>
    <w:next w:val="1"/>
    <w:qFormat/>
    <w:uiPriority w:val="0"/>
    <w:pPr>
      <w:ind w:left="2520" w:leftChars="1200"/>
    </w:pPr>
  </w:style>
  <w:style w:type="paragraph" w:styleId="8">
    <w:name w:val="Body Text Indent"/>
    <w:basedOn w:val="1"/>
    <w:qFormat/>
    <w:uiPriority w:val="0"/>
    <w:pPr>
      <w:ind w:firstLine="435"/>
    </w:pPr>
    <w:rPr>
      <w:sz w:val="28"/>
    </w:rPr>
  </w:style>
  <w:style w:type="paragraph" w:styleId="9">
    <w:name w:val="toc 5"/>
    <w:basedOn w:val="1"/>
    <w:next w:val="1"/>
    <w:qFormat/>
    <w:uiPriority w:val="0"/>
    <w:pPr>
      <w:ind w:left="1680" w:leftChars="800"/>
    </w:pPr>
  </w:style>
  <w:style w:type="paragraph" w:styleId="10">
    <w:name w:val="toc 3"/>
    <w:basedOn w:val="1"/>
    <w:next w:val="1"/>
    <w:qFormat/>
    <w:uiPriority w:val="0"/>
    <w:pPr>
      <w:ind w:left="840" w:leftChars="400"/>
    </w:pPr>
  </w:style>
  <w:style w:type="paragraph" w:styleId="11">
    <w:name w:val="Plain Text"/>
    <w:basedOn w:val="1"/>
    <w:qFormat/>
    <w:uiPriority w:val="0"/>
    <w:pPr>
      <w:spacing w:afterLines="50" w:line="312" w:lineRule="auto"/>
      <w:ind w:firstLine="200" w:firstLineChars="200"/>
    </w:pPr>
    <w:rPr>
      <w:szCs w:val="20"/>
    </w:rPr>
  </w:style>
  <w:style w:type="paragraph" w:styleId="12">
    <w:name w:val="toc 8"/>
    <w:basedOn w:val="1"/>
    <w:next w:val="1"/>
    <w:qFormat/>
    <w:uiPriority w:val="0"/>
    <w:pPr>
      <w:ind w:left="2940" w:leftChars="1400"/>
    </w:pPr>
  </w:style>
  <w:style w:type="paragraph" w:styleId="13">
    <w:name w:val="Body Text Indent 2"/>
    <w:basedOn w:val="1"/>
    <w:link w:val="34"/>
    <w:qFormat/>
    <w:uiPriority w:val="0"/>
    <w:pPr>
      <w:spacing w:line="324" w:lineRule="auto"/>
      <w:ind w:firstLine="420" w:firstLineChars="200"/>
    </w:pPr>
    <w:rPr>
      <w:rFonts w:ascii="Times New Roman" w:hAnsi="Times New Roman" w:eastAsia="宋体" w:cs="Times New Roman"/>
    </w:rPr>
  </w:style>
  <w:style w:type="paragraph" w:styleId="14">
    <w:name w:val="Balloon Text"/>
    <w:basedOn w:val="1"/>
    <w:link w:val="31"/>
    <w:qFormat/>
    <w:uiPriority w:val="0"/>
    <w:rPr>
      <w:sz w:val="18"/>
      <w:szCs w:val="18"/>
    </w:rPr>
  </w:style>
  <w:style w:type="paragraph" w:styleId="15">
    <w:name w:val="footer"/>
    <w:basedOn w:val="1"/>
    <w:link w:val="30"/>
    <w:qFormat/>
    <w:uiPriority w:val="0"/>
    <w:pPr>
      <w:tabs>
        <w:tab w:val="center" w:pos="4153"/>
        <w:tab w:val="right" w:pos="8306"/>
      </w:tabs>
      <w:snapToGrid w:val="0"/>
      <w:jc w:val="left"/>
    </w:pPr>
    <w:rPr>
      <w:sz w:val="18"/>
      <w:szCs w:val="18"/>
    </w:rPr>
  </w:style>
  <w:style w:type="paragraph" w:styleId="16">
    <w:name w:val="header"/>
    <w:basedOn w:val="1"/>
    <w:link w:val="29"/>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0"/>
  </w:style>
  <w:style w:type="paragraph" w:styleId="18">
    <w:name w:val="toc 4"/>
    <w:basedOn w:val="1"/>
    <w:next w:val="1"/>
    <w:qFormat/>
    <w:uiPriority w:val="0"/>
    <w:pPr>
      <w:ind w:left="1260" w:leftChars="600"/>
    </w:pPr>
  </w:style>
  <w:style w:type="paragraph" w:styleId="19">
    <w:name w:val="toc 6"/>
    <w:basedOn w:val="1"/>
    <w:next w:val="1"/>
    <w:qFormat/>
    <w:uiPriority w:val="0"/>
    <w:pPr>
      <w:ind w:left="2100" w:leftChars="1000"/>
    </w:pPr>
  </w:style>
  <w:style w:type="paragraph" w:styleId="20">
    <w:name w:val="toc 2"/>
    <w:basedOn w:val="1"/>
    <w:next w:val="1"/>
    <w:qFormat/>
    <w:uiPriority w:val="0"/>
    <w:pPr>
      <w:ind w:left="420" w:leftChars="200"/>
    </w:pPr>
  </w:style>
  <w:style w:type="paragraph" w:styleId="21">
    <w:name w:val="toc 9"/>
    <w:basedOn w:val="1"/>
    <w:next w:val="1"/>
    <w:qFormat/>
    <w:uiPriority w:val="0"/>
    <w:pPr>
      <w:ind w:left="3360" w:leftChars="1600"/>
    </w:pPr>
  </w:style>
  <w:style w:type="paragraph" w:styleId="22">
    <w:name w:val="Normal (Web)"/>
    <w:basedOn w:val="1"/>
    <w:qFormat/>
    <w:uiPriority w:val="99"/>
    <w:pPr>
      <w:spacing w:beforeAutospacing="1" w:afterAutospacing="1"/>
      <w:jc w:val="left"/>
    </w:pPr>
    <w:rPr>
      <w:rFonts w:cs="Times New Roman"/>
      <w:kern w:val="0"/>
      <w:sz w:val="24"/>
    </w:rPr>
  </w:style>
  <w:style w:type="character" w:styleId="24">
    <w:name w:val="Strong"/>
    <w:basedOn w:val="23"/>
    <w:qFormat/>
    <w:uiPriority w:val="22"/>
    <w:rPr>
      <w:b/>
      <w:bCs/>
    </w:rPr>
  </w:style>
  <w:style w:type="character" w:styleId="25">
    <w:name w:val="page number"/>
    <w:basedOn w:val="23"/>
    <w:uiPriority w:val="0"/>
  </w:style>
  <w:style w:type="character" w:styleId="26">
    <w:name w:val="Hyperlink"/>
    <w:basedOn w:val="23"/>
    <w:qFormat/>
    <w:uiPriority w:val="0"/>
    <w:rPr>
      <w:color w:val="0000FF"/>
      <w:u w:val="single"/>
    </w:rPr>
  </w:style>
  <w:style w:type="character" w:styleId="27">
    <w:name w:val="annotation reference"/>
    <w:basedOn w:val="23"/>
    <w:qFormat/>
    <w:uiPriority w:val="0"/>
    <w:rPr>
      <w:sz w:val="21"/>
      <w:szCs w:val="21"/>
    </w:rPr>
  </w:style>
  <w:style w:type="character" w:customStyle="1" w:styleId="29">
    <w:name w:val="页眉 Char"/>
    <w:basedOn w:val="23"/>
    <w:link w:val="16"/>
    <w:qFormat/>
    <w:uiPriority w:val="0"/>
    <w:rPr>
      <w:rFonts w:asciiTheme="minorHAnsi" w:hAnsiTheme="minorHAnsi" w:eastAsiaTheme="minorEastAsia" w:cstheme="minorBidi"/>
      <w:kern w:val="2"/>
      <w:sz w:val="18"/>
      <w:szCs w:val="18"/>
    </w:rPr>
  </w:style>
  <w:style w:type="character" w:customStyle="1" w:styleId="30">
    <w:name w:val="页脚 Char"/>
    <w:basedOn w:val="23"/>
    <w:link w:val="15"/>
    <w:qFormat/>
    <w:uiPriority w:val="0"/>
    <w:rPr>
      <w:rFonts w:asciiTheme="minorHAnsi" w:hAnsiTheme="minorHAnsi" w:eastAsiaTheme="minorEastAsia" w:cstheme="minorBidi"/>
      <w:kern w:val="2"/>
      <w:sz w:val="18"/>
      <w:szCs w:val="18"/>
    </w:rPr>
  </w:style>
  <w:style w:type="character" w:customStyle="1" w:styleId="31">
    <w:name w:val="批注框文本 Char"/>
    <w:basedOn w:val="23"/>
    <w:link w:val="14"/>
    <w:qFormat/>
    <w:uiPriority w:val="0"/>
    <w:rPr>
      <w:rFonts w:asciiTheme="minorHAnsi" w:hAnsiTheme="minorHAnsi" w:eastAsiaTheme="minorEastAsia" w:cstheme="minorBidi"/>
      <w:kern w:val="2"/>
      <w:sz w:val="18"/>
      <w:szCs w:val="18"/>
    </w:rPr>
  </w:style>
  <w:style w:type="character" w:customStyle="1" w:styleId="32">
    <w:name w:val="标题 2 Char"/>
    <w:basedOn w:val="23"/>
    <w:link w:val="3"/>
    <w:qFormat/>
    <w:uiPriority w:val="0"/>
    <w:rPr>
      <w:rFonts w:ascii="黑体" w:eastAsia="黑体"/>
      <w:b/>
      <w:kern w:val="2"/>
      <w:sz w:val="28"/>
      <w:szCs w:val="28"/>
    </w:rPr>
  </w:style>
  <w:style w:type="character" w:customStyle="1" w:styleId="33">
    <w:name w:val="标题 3 Char"/>
    <w:basedOn w:val="23"/>
    <w:link w:val="4"/>
    <w:qFormat/>
    <w:uiPriority w:val="0"/>
    <w:rPr>
      <w:rFonts w:ascii="宋体"/>
      <w:b/>
      <w:sz w:val="24"/>
    </w:rPr>
  </w:style>
  <w:style w:type="character" w:customStyle="1" w:styleId="34">
    <w:name w:val="正文文本缩进 2 Char"/>
    <w:basedOn w:val="23"/>
    <w:link w:val="13"/>
    <w:qFormat/>
    <w:uiPriority w:val="0"/>
    <w:rPr>
      <w:kern w:val="2"/>
      <w:sz w:val="21"/>
      <w:szCs w:val="24"/>
    </w:rPr>
  </w:style>
  <w:style w:type="paragraph" w:customStyle="1" w:styleId="35">
    <w:name w:val="宁德正文"/>
    <w:basedOn w:val="22"/>
    <w:qFormat/>
    <w:uiPriority w:val="0"/>
    <w:pPr>
      <w:ind w:firstLine="200" w:firstLineChars="200"/>
    </w:pPr>
    <w:rPr>
      <w:rFonts w:ascii="宋体" w:hAnsi="宋体" w:eastAsia="宋体" w:cs="宋体"/>
      <w:sz w:val="28"/>
    </w:rPr>
  </w:style>
  <w:style w:type="character" w:customStyle="1" w:styleId="36">
    <w:name w:val="apple-style-span"/>
    <w:basedOn w:val="23"/>
    <w:qFormat/>
    <w:uiPriority w:val="99"/>
    <w:rPr>
      <w:rFonts w:cs="Times New Roman"/>
    </w:rPr>
  </w:style>
  <w:style w:type="character" w:customStyle="1" w:styleId="37">
    <w:name w:val="批注文字 Char"/>
    <w:basedOn w:val="23"/>
    <w:link w:val="6"/>
    <w:qFormat/>
    <w:uiPriority w:val="0"/>
    <w:rPr>
      <w:rFonts w:asciiTheme="minorHAnsi" w:hAnsiTheme="minorHAnsi" w:eastAsiaTheme="minorEastAsia" w:cstheme="minorBidi"/>
      <w:kern w:val="2"/>
      <w:sz w:val="21"/>
      <w:szCs w:val="24"/>
    </w:rPr>
  </w:style>
  <w:style w:type="character" w:customStyle="1" w:styleId="38">
    <w:name w:val="批注主题 Char"/>
    <w:basedOn w:val="37"/>
    <w:link w:val="5"/>
    <w:qFormat/>
    <w:uiPriority w:val="0"/>
    <w:rPr>
      <w:rFonts w:asciiTheme="minorHAnsi" w:hAnsiTheme="minorHAnsi" w:eastAsiaTheme="minorEastAsia" w:cstheme="minorBidi"/>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3031544-03FD-4BA4-8949-637195A7E3E5}">
  <ds:schemaRefs/>
</ds:datastoreItem>
</file>

<file path=docProps/app.xml><?xml version="1.0" encoding="utf-8"?>
<Properties xmlns="http://schemas.openxmlformats.org/officeDocument/2006/extended-properties" xmlns:vt="http://schemas.openxmlformats.org/officeDocument/2006/docPropsVTypes">
  <Template>Normal.dotm</Template>
  <Pages>40</Pages>
  <Words>2939</Words>
  <Characters>16755</Characters>
  <Lines>139</Lines>
  <Paragraphs>39</Paragraphs>
  <ScaleCrop>false</ScaleCrop>
  <LinksUpToDate>false</LinksUpToDate>
  <CharactersWithSpaces>19655</CharactersWithSpaces>
  <Application>WPS Office_10.1.0.5866_F1E327BC-269C-435d-A152-05C5408002CA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2016-07-21T04:38:00Z</dcterms:created>
  <dc:creator>JGX</dc:creator>
  <cp:lastModifiedBy>Administrator</cp:lastModifiedBy>
  <dcterms:modified xsi:type="dcterms:W3CDTF">2016-08-26T07:15:23Z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2052-10.1.0.5866</vt:lpwstr>
  </property>
</Properties>
</file>