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30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12"/>
        <w:gridCol w:w="1388"/>
        <w:gridCol w:w="1342"/>
        <w:gridCol w:w="51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9302"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2"/>
                <w:szCs w:val="32"/>
                <w:u w:val="none"/>
              </w:rPr>
            </w:pPr>
            <w:r>
              <w:rPr>
                <w:rFonts w:hint="default" w:ascii="方正小标宋简体" w:hAnsi="方正小标宋简体" w:eastAsia="方正小标宋简体" w:cs="方正小标宋简体"/>
                <w:i w:val="0"/>
                <w:iCs w:val="0"/>
                <w:color w:val="000000"/>
                <w:kern w:val="0"/>
                <w:sz w:val="32"/>
                <w:szCs w:val="32"/>
                <w:u w:val="none"/>
                <w:lang w:val="en-US" w:eastAsia="zh-CN" w:bidi="ar"/>
              </w:rPr>
              <w:t>机动车停</w:t>
            </w:r>
            <w:r>
              <w:rPr>
                <w:rFonts w:hint="eastAsia" w:ascii="方正小标宋简体" w:hAnsi="方正小标宋简体" w:eastAsia="方正小标宋简体" w:cs="方正小标宋简体"/>
                <w:i w:val="0"/>
                <w:iCs w:val="0"/>
                <w:color w:val="000000"/>
                <w:kern w:val="0"/>
                <w:sz w:val="32"/>
                <w:szCs w:val="32"/>
                <w:u w:val="none"/>
                <w:lang w:val="en-US" w:eastAsia="zh-CN" w:bidi="ar"/>
              </w:rPr>
              <w:t>放</w:t>
            </w:r>
            <w:r>
              <w:rPr>
                <w:rFonts w:hint="default" w:ascii="方正小标宋简体" w:hAnsi="方正小标宋简体" w:eastAsia="方正小标宋简体" w:cs="方正小标宋简体"/>
                <w:i w:val="0"/>
                <w:iCs w:val="0"/>
                <w:color w:val="000000"/>
                <w:kern w:val="0"/>
                <w:sz w:val="32"/>
                <w:szCs w:val="32"/>
                <w:u w:val="none"/>
                <w:lang w:val="en-US" w:eastAsia="zh-CN" w:bidi="ar"/>
              </w:rPr>
              <w:t>服务定价成本核定表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412" w:type="dxa"/>
            <w:tcBorders>
              <w:top w:val="nil"/>
              <w:left w:val="nil"/>
              <w:bottom w:val="nil"/>
              <w:right w:val="nil"/>
            </w:tcBorders>
            <w:shd w:val="clear" w:color="auto" w:fill="auto"/>
            <w:noWrap/>
            <w:vAlign w:val="center"/>
          </w:tcPr>
          <w:p>
            <w:pPr>
              <w:jc w:val="center"/>
              <w:rPr>
                <w:rFonts w:hint="default" w:ascii="方正小标宋简体" w:hAnsi="方正小标宋简体" w:eastAsia="方正小标宋简体" w:cs="方正小标宋简体"/>
                <w:i w:val="0"/>
                <w:iCs w:val="0"/>
                <w:color w:val="000000"/>
                <w:sz w:val="32"/>
                <w:szCs w:val="32"/>
                <w:u w:val="none"/>
              </w:rPr>
            </w:pPr>
          </w:p>
        </w:tc>
        <w:tc>
          <w:tcPr>
            <w:tcW w:w="2730" w:type="dxa"/>
            <w:gridSpan w:val="2"/>
            <w:tcBorders>
              <w:top w:val="nil"/>
              <w:left w:val="nil"/>
              <w:bottom w:val="nil"/>
              <w:right w:val="nil"/>
            </w:tcBorders>
            <w:shd w:val="clear" w:color="auto" w:fill="auto"/>
            <w:noWrap/>
            <w:vAlign w:val="center"/>
          </w:tcPr>
          <w:p>
            <w:pPr>
              <w:jc w:val="center"/>
              <w:rPr>
                <w:rFonts w:hint="default" w:ascii="方正小标宋简体" w:hAnsi="方正小标宋简体" w:eastAsia="方正小标宋简体" w:cs="方正小标宋简体"/>
                <w:i w:val="0"/>
                <w:iCs w:val="0"/>
                <w:color w:val="000000"/>
                <w:sz w:val="32"/>
                <w:szCs w:val="32"/>
                <w:u w:val="none"/>
              </w:rPr>
            </w:pPr>
          </w:p>
        </w:tc>
        <w:tc>
          <w:tcPr>
            <w:tcW w:w="516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金额</w:t>
            </w:r>
            <w:r>
              <w:rPr>
                <w:rFonts w:hint="default" w:ascii="方正小标宋简体" w:hAnsi="方正小标宋简体" w:eastAsia="方正小标宋简体" w:cs="方正小标宋简体"/>
                <w:i w:val="0"/>
                <w:iCs w:val="0"/>
                <w:color w:val="000000"/>
                <w:kern w:val="0"/>
                <w:sz w:val="20"/>
                <w:szCs w:val="20"/>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4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    目</w:t>
            </w:r>
          </w:p>
        </w:tc>
        <w:tc>
          <w:tcPr>
            <w:tcW w:w="27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 审核测算数 </w:t>
            </w:r>
          </w:p>
        </w:tc>
        <w:tc>
          <w:tcPr>
            <w:tcW w:w="516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41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pPr>
          </w:p>
        </w:tc>
        <w:tc>
          <w:tcPr>
            <w:tcW w:w="138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tabs>
                <w:tab w:val="left" w:pos="492"/>
              </w:tabs>
              <w:jc w:val="left"/>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ab/>
              <w:t>修改前</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修改后</w:t>
            </w:r>
          </w:p>
        </w:tc>
        <w:tc>
          <w:tcPr>
            <w:tcW w:w="516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一、机动车停车服务总成本</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9,814,298.42</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abs>
                <w:tab w:val="left" w:pos="582"/>
              </w:tabs>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9,567,620.35</w:t>
            </w:r>
          </w:p>
        </w:tc>
        <w:tc>
          <w:tcPr>
            <w:tcW w:w="5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本次定价运营成本测算按规划至2025年县城建设路内停车泊位数计。《阳山县公共智慧体系配套建设项目具体实施方案》修改前3619个车位，修改后3488个车位。</w:t>
            </w:r>
            <w:r>
              <w:rPr>
                <w:rFonts w:hint="eastAsia" w:ascii="宋体" w:hAnsi="宋体" w:eastAsia="宋体" w:cs="宋体"/>
                <w:i w:val="0"/>
                <w:iCs w:val="0"/>
                <w:color w:val="000000"/>
                <w:kern w:val="0"/>
                <w:sz w:val="18"/>
                <w:szCs w:val="18"/>
                <w:u w:val="none"/>
                <w:lang w:val="en-US" w:eastAsia="zh-CN" w:bidi="ar"/>
              </w:rPr>
              <w:t>“审核测算数-修改后”数据，是根据修改后的《阳山县公共智慧体系配套建设项目具体实施方案》</w:t>
            </w:r>
            <w:r>
              <w:rPr>
                <w:rFonts w:hint="eastAsia" w:ascii="宋体" w:hAnsi="宋体" w:eastAsia="宋体" w:cs="宋体"/>
                <w:i w:val="0"/>
                <w:iCs w:val="0"/>
                <w:color w:val="000000"/>
                <w:kern w:val="0"/>
                <w:sz w:val="18"/>
                <w:szCs w:val="18"/>
                <w:u w:val="none"/>
                <w:lang w:val="en-US" w:eastAsia="zh-CN" w:bidi="ar"/>
              </w:rPr>
              <w:t>测算运营期前三年平均数。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1"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（一）职工薪酬</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2,262,703.88</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abs>
                <w:tab w:val="left" w:pos="447"/>
              </w:tabs>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2,262,703.88</w:t>
            </w:r>
          </w:p>
        </w:tc>
        <w:tc>
          <w:tcPr>
            <w:tcW w:w="5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本次定价运营成本测算按规划至2025年县城建设路内停车泊位数计。“审核测算数-修改后”数据，是根据修改后的《阳山县公共智慧体系配套建设项目具体实施方案》，</w:t>
            </w:r>
            <w:r>
              <w:rPr>
                <w:rFonts w:hint="eastAsia" w:ascii="宋体" w:hAnsi="宋体" w:eastAsia="宋体" w:cs="宋体"/>
                <w:i w:val="0"/>
                <w:iCs w:val="0"/>
                <w:color w:val="000000"/>
                <w:kern w:val="0"/>
                <w:sz w:val="18"/>
                <w:szCs w:val="18"/>
                <w:u w:val="none"/>
                <w:lang w:val="en-US" w:eastAsia="zh-CN" w:bidi="ar"/>
              </w:rPr>
              <w:t>测算配置运营人员约34人，其中管理人员5人、巡逻人员20人、维修人员3人、客服人员6人。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其中：职工工资</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1,587,772.40</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abs>
                <w:tab w:val="left" w:pos="222"/>
              </w:tabs>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1,587,772.40</w:t>
            </w:r>
          </w:p>
        </w:tc>
        <w:tc>
          <w:tcPr>
            <w:tcW w:w="5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按不超过统计部门公布的当地城镇在岗职工平均工资核定34人工资。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职工福利费</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222,288.14</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222,288.14</w:t>
            </w:r>
          </w:p>
        </w:tc>
        <w:tc>
          <w:tcPr>
            <w:tcW w:w="5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按不超过工资的14%测算。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社会保险费</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373,254.72</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373,254.72</w:t>
            </w:r>
          </w:p>
        </w:tc>
        <w:tc>
          <w:tcPr>
            <w:tcW w:w="5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按最低工资基数标准4190元测算社会保险费，测算出单位承担部分914.84元/人/月。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住房公积金</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79,388.62</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79,388.62</w:t>
            </w:r>
          </w:p>
        </w:tc>
        <w:tc>
          <w:tcPr>
            <w:tcW w:w="5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以工资额为基数，按最低缴存比例5%测算。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（二）固定资产折旧</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1,452,256.94</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1,405,300.63</w:t>
            </w:r>
          </w:p>
        </w:tc>
        <w:tc>
          <w:tcPr>
            <w:tcW w:w="5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本次定价运营成本测算按规划至2025年县城建设路内停车泊位数计。“审核测算数-修改后”数据，是根据修改后的《阳山县公共智慧体系配套建设项目具体实施方案》，</w:t>
            </w:r>
            <w:r>
              <w:rPr>
                <w:rFonts w:hint="eastAsia" w:ascii="宋体" w:hAnsi="宋体" w:eastAsia="宋体" w:cs="宋体"/>
                <w:i w:val="0"/>
                <w:iCs w:val="0"/>
                <w:color w:val="000000"/>
                <w:kern w:val="0"/>
                <w:sz w:val="18"/>
                <w:szCs w:val="18"/>
                <w:u w:val="none"/>
                <w:lang w:val="en-US" w:eastAsia="zh-CN" w:bidi="ar"/>
              </w:rPr>
              <w:t>系统建设工程按18年，设备系统按10年进行分摊，留残值4%进行测算。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（三）修理维护费</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 </w:t>
            </w:r>
          </w:p>
        </w:tc>
        <w:tc>
          <w:tcPr>
            <w:tcW w:w="5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“审核测算数-修改后”数据，是根据修改后的《阳山县公共智慧体系配套建设项目具体实施方案》</w:t>
            </w:r>
            <w:r>
              <w:rPr>
                <w:rFonts w:hint="eastAsia" w:ascii="宋体" w:hAnsi="宋体" w:eastAsia="宋体" w:cs="宋体"/>
                <w:i w:val="0"/>
                <w:iCs w:val="0"/>
                <w:color w:val="000000"/>
                <w:kern w:val="0"/>
                <w:sz w:val="18"/>
                <w:szCs w:val="18"/>
                <w:u w:val="none"/>
                <w:lang w:val="en-US" w:eastAsia="zh-CN" w:bidi="ar"/>
              </w:rPr>
              <w:t>运营期前三年平均数据：主要设备更换、日常设备维护和基础设施维护：按固定资产原值的2%计算，自运营期第6年开始考虑修理维护，故测算期内无该项费用。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（四）水电费</w:t>
            </w: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168,331.54 </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162,238.30</w:t>
            </w:r>
          </w:p>
        </w:tc>
        <w:tc>
          <w:tcPr>
            <w:tcW w:w="5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“审核测算数-修改后”数据，是</w:t>
            </w:r>
            <w:r>
              <w:rPr>
                <w:rFonts w:hint="eastAsia" w:ascii="宋体" w:hAnsi="宋体" w:eastAsia="宋体" w:cs="宋体"/>
                <w:i w:val="0"/>
                <w:iCs w:val="0"/>
                <w:color w:val="000000"/>
                <w:kern w:val="0"/>
                <w:sz w:val="18"/>
                <w:szCs w:val="18"/>
                <w:u w:val="none"/>
                <w:lang w:val="en-US" w:eastAsia="zh-CN" w:bidi="ar"/>
              </w:rPr>
              <w:t>根据修改后的《阳山县公共智慧体系配套建设项目具体实施方案》：所需能源主要是电，主要为智能停车设备的耗电成本，项目用电负荷参照同类项目，本次测算3488个车位，按服务1个车位每天用电约0.18kWh，3488个车位新增年用电量22.92万kWh，电费按0.8元/kWh 计算，测算每年的用电成本为183,329.28元（含税），扣除13%进项税后测算的不含税用电成本为162,238.30元。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5"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（五）无形资产摊销</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3,412,166.67</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3,301,839.94</w:t>
            </w:r>
          </w:p>
        </w:tc>
        <w:tc>
          <w:tcPr>
            <w:tcW w:w="5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本次定价运营成本测算按规划至2025年县城建设路内停车泊位数计。</w:t>
            </w:r>
            <w:r>
              <w:rPr>
                <w:rFonts w:hint="eastAsia" w:ascii="宋体" w:hAnsi="宋体" w:eastAsia="宋体" w:cs="宋体"/>
                <w:i w:val="0"/>
                <w:iCs w:val="0"/>
                <w:color w:val="000000"/>
                <w:kern w:val="0"/>
                <w:sz w:val="18"/>
                <w:szCs w:val="18"/>
                <w:u w:val="none"/>
                <w:lang w:val="en-US" w:eastAsia="zh-CN" w:bidi="ar"/>
              </w:rPr>
              <w:t>“审核测算数-修改后”数据，是</w:t>
            </w:r>
            <w:r>
              <w:rPr>
                <w:rFonts w:hint="eastAsia" w:ascii="宋体" w:hAnsi="宋体" w:eastAsia="宋体" w:cs="宋体"/>
                <w:i w:val="0"/>
                <w:iCs w:val="0"/>
                <w:color w:val="000000"/>
                <w:kern w:val="0"/>
                <w:sz w:val="18"/>
                <w:szCs w:val="18"/>
                <w:u w:val="none"/>
                <w:lang w:val="en-US" w:eastAsia="zh-CN" w:bidi="ar"/>
              </w:rPr>
              <w:t>根据修改后的《阳山县公共智慧体系配套建设项目具体实施方案》和阳山县农丰农业发展有限公司与阳山县城市管理和综合执法局签订的《阳山县（含乡镇）市政道路路内停车泊位公共资源使用权》显示的使用期限为20年，按18年运营期摊销进行测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0"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（六）财务费用</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2,037,713.06</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1,971,827.00</w:t>
            </w:r>
          </w:p>
        </w:tc>
        <w:tc>
          <w:tcPr>
            <w:tcW w:w="5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本次定价运营成本测算按规划至2025年县城建设路内停车泊位数计。</w:t>
            </w:r>
            <w:r>
              <w:rPr>
                <w:rFonts w:hint="eastAsia" w:ascii="宋体" w:hAnsi="宋体" w:eastAsia="宋体" w:cs="宋体"/>
                <w:i w:val="0"/>
                <w:iCs w:val="0"/>
                <w:color w:val="000000"/>
                <w:kern w:val="0"/>
                <w:sz w:val="18"/>
                <w:szCs w:val="18"/>
                <w:u w:val="none"/>
                <w:lang w:val="en-US" w:eastAsia="zh-CN" w:bidi="ar"/>
              </w:rPr>
              <w:t>“审核测算数-修改后”数据，是根据修改后的《阳山县公共智慧体系配套建设项目具体实施方案》3488</w:t>
            </w:r>
            <w:r>
              <w:rPr>
                <w:rFonts w:hint="eastAsia" w:ascii="宋体" w:hAnsi="宋体" w:eastAsia="宋体" w:cs="宋体"/>
                <w:i w:val="0"/>
                <w:iCs w:val="0"/>
                <w:color w:val="000000"/>
                <w:kern w:val="0"/>
                <w:sz w:val="18"/>
                <w:szCs w:val="18"/>
                <w:u w:val="none"/>
                <w:lang w:val="en-US" w:eastAsia="zh-CN" w:bidi="ar"/>
              </w:rPr>
              <w:t>个车位计，共计需偿还贷款总额为63,866,000.00元，按此基础计算本项目运营期前三年分别贷款本金为第一年63,866,000.00元、61,282,830.41元、第三年58,606,666.71元，贷款总额为项目投资总额的78.28%；借款利率根据中国人民银行2024年10月21日全国银行间同业拆借中心受权公布贷款市场报价利率（LPR）公告反映的5年期以上贷款市场报价利率为3.60%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参照《监审办法》，贷款总额超过投资总额70%的，按投资总额的70%测算贷款利息总额。项目贷款总额为投资总额的78.28%，按投资总额的70%计算贷款利息，并按经营期18年分摊利息费用。测算的利息费用以运营期前三年利息费用平均数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（七）其他费用</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481,126.34 </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463,710.60</w:t>
            </w:r>
          </w:p>
        </w:tc>
        <w:tc>
          <w:tcPr>
            <w:tcW w:w="5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预测数，</w:t>
            </w:r>
            <w:r>
              <w:rPr>
                <w:rFonts w:hint="eastAsia" w:ascii="宋体" w:hAnsi="宋体" w:eastAsia="宋体" w:cs="宋体"/>
                <w:i w:val="0"/>
                <w:iCs w:val="0"/>
                <w:color w:val="000000"/>
                <w:kern w:val="0"/>
                <w:sz w:val="18"/>
                <w:szCs w:val="18"/>
                <w:u w:val="none"/>
                <w:lang w:val="en-US" w:eastAsia="zh-CN" w:bidi="ar"/>
              </w:rPr>
              <w:t>“审核测算数-修改后”数据，是</w:t>
            </w:r>
            <w:r>
              <w:rPr>
                <w:rFonts w:hint="eastAsia" w:ascii="宋体" w:hAnsi="宋体" w:eastAsia="宋体" w:cs="宋体"/>
                <w:i w:val="0"/>
                <w:iCs w:val="0"/>
                <w:color w:val="000000"/>
                <w:kern w:val="0"/>
                <w:sz w:val="18"/>
                <w:szCs w:val="18"/>
                <w:u w:val="none"/>
                <w:lang w:val="en-US" w:eastAsia="zh-CN" w:bidi="ar"/>
              </w:rPr>
              <w:t>根据</w:t>
            </w:r>
            <w:r>
              <w:rPr>
                <w:rFonts w:hint="eastAsia" w:ascii="宋体" w:hAnsi="宋体" w:eastAsia="宋体" w:cs="宋体"/>
                <w:i w:val="0"/>
                <w:iCs w:val="0"/>
                <w:color w:val="000000"/>
                <w:kern w:val="0"/>
                <w:sz w:val="18"/>
                <w:szCs w:val="18"/>
                <w:u w:val="none"/>
                <w:lang w:val="en-US" w:eastAsia="zh-CN" w:bidi="ar"/>
              </w:rPr>
              <w:t>修改后的</w:t>
            </w:r>
            <w:r>
              <w:rPr>
                <w:rFonts w:hint="eastAsia" w:ascii="宋体" w:hAnsi="宋体" w:eastAsia="宋体" w:cs="宋体"/>
                <w:i w:val="0"/>
                <w:iCs w:val="0"/>
                <w:color w:val="000000"/>
                <w:kern w:val="0"/>
                <w:sz w:val="18"/>
                <w:szCs w:val="18"/>
                <w:u w:val="none"/>
                <w:lang w:val="en-US" w:eastAsia="zh-CN" w:bidi="ar"/>
              </w:rPr>
              <w:t>《阳山县公共智慧体系配套建设项目具体实施方案》运营期前三年平均数据：其他直接费用包含巡检车辆及油费、前端感知设备传输网络租赁、设备租赁费、机动车保险费等，按营业收入的3%测算。其他管理费用包括办公费、经营场地租赁费等，按营业收入的2%测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0"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二、机动车有效停放量（小时）</w:t>
            </w: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36,769.04</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35,438.08</w:t>
            </w:r>
          </w:p>
        </w:tc>
        <w:tc>
          <w:tcPr>
            <w:tcW w:w="5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本次定价运营成本测算根据规划至2025年县城建设路内停车泊位数计。</w:t>
            </w:r>
            <w:r>
              <w:rPr>
                <w:rFonts w:hint="eastAsia" w:ascii="宋体" w:hAnsi="宋体" w:eastAsia="宋体" w:cs="宋体"/>
                <w:i w:val="0"/>
                <w:iCs w:val="0"/>
                <w:color w:val="000000"/>
                <w:kern w:val="0"/>
                <w:sz w:val="18"/>
                <w:szCs w:val="18"/>
                <w:u w:val="none"/>
                <w:lang w:val="en-US" w:eastAsia="zh-CN" w:bidi="ar"/>
              </w:rPr>
              <w:t>“审核测算数-修改后”数据，是</w:t>
            </w:r>
            <w:r>
              <w:rPr>
                <w:rFonts w:hint="eastAsia" w:ascii="宋体" w:hAnsi="宋体" w:eastAsia="宋体" w:cs="宋体"/>
                <w:i w:val="0"/>
                <w:iCs w:val="0"/>
                <w:color w:val="000000"/>
                <w:kern w:val="0"/>
                <w:sz w:val="18"/>
                <w:szCs w:val="18"/>
                <w:u w:val="none"/>
                <w:lang w:val="en-US" w:eastAsia="zh-CN" w:bidi="ar"/>
              </w:rPr>
              <w:t>根据</w:t>
            </w:r>
            <w:r>
              <w:rPr>
                <w:rFonts w:hint="eastAsia" w:ascii="宋体" w:hAnsi="宋体" w:eastAsia="宋体" w:cs="宋体"/>
                <w:i w:val="0"/>
                <w:iCs w:val="0"/>
                <w:color w:val="000000"/>
                <w:kern w:val="0"/>
                <w:sz w:val="18"/>
                <w:szCs w:val="18"/>
                <w:u w:val="none"/>
                <w:lang w:val="en-US" w:eastAsia="zh-CN" w:bidi="ar"/>
              </w:rPr>
              <w:t>修改后的</w:t>
            </w:r>
            <w:r>
              <w:rPr>
                <w:rFonts w:hint="eastAsia" w:ascii="宋体" w:hAnsi="宋体" w:eastAsia="宋体" w:cs="宋体"/>
                <w:i w:val="0"/>
                <w:iCs w:val="0"/>
                <w:color w:val="000000"/>
                <w:kern w:val="0"/>
                <w:sz w:val="18"/>
                <w:szCs w:val="18"/>
                <w:u w:val="none"/>
                <w:lang w:val="en-US" w:eastAsia="zh-CN" w:bidi="ar"/>
              </w:rPr>
              <w:t>《阳山县公共智慧体系配套建设项目具体实施方案》运营期第一年数据测算：按停车位*平均车位使用率*平均周转率*平均停车时长计算。车位使用率根据修改后的《阳山县公共智慧体系配套建设项目具体</w:t>
            </w:r>
            <w:bookmarkStart w:id="0" w:name="_GoBack"/>
            <w:bookmarkEnd w:id="0"/>
            <w:r>
              <w:rPr>
                <w:rFonts w:hint="eastAsia" w:ascii="宋体" w:hAnsi="宋体" w:eastAsia="宋体" w:cs="宋体"/>
                <w:i w:val="0"/>
                <w:iCs w:val="0"/>
                <w:color w:val="000000"/>
                <w:kern w:val="0"/>
                <w:sz w:val="18"/>
                <w:szCs w:val="18"/>
                <w:u w:val="none"/>
                <w:lang w:val="en-US" w:eastAsia="zh-CN" w:bidi="ar"/>
              </w:rPr>
              <w:t>实施方案》运营期第一年的车位使用率测算。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三、机动车停放服务单位成本（元/小时）</w:t>
            </w: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0.73 </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0.74</w:t>
            </w:r>
          </w:p>
        </w:tc>
        <w:tc>
          <w:tcPr>
            <w:tcW w:w="5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每年按365天计算，</w:t>
            </w:r>
            <w:r>
              <w:rPr>
                <w:rFonts w:hint="eastAsia" w:ascii="宋体" w:hAnsi="宋体" w:eastAsia="宋体" w:cs="宋体"/>
                <w:i w:val="0"/>
                <w:iCs w:val="0"/>
                <w:color w:val="000000"/>
                <w:kern w:val="0"/>
                <w:sz w:val="18"/>
                <w:szCs w:val="18"/>
                <w:u w:val="none"/>
                <w:lang w:val="en-US" w:eastAsia="zh-CN" w:bidi="ar"/>
              </w:rPr>
              <w:t>“审核测算数-修改后”</w:t>
            </w:r>
            <w:r>
              <w:rPr>
                <w:rFonts w:hint="eastAsia" w:ascii="宋体" w:hAnsi="宋体" w:eastAsia="宋体" w:cs="宋体"/>
                <w:i w:val="0"/>
                <w:iCs w:val="0"/>
                <w:color w:val="000000"/>
                <w:kern w:val="0"/>
                <w:sz w:val="18"/>
                <w:szCs w:val="18"/>
                <w:u w:val="none"/>
                <w:lang w:val="en-US" w:eastAsia="zh-CN" w:bidi="ar"/>
              </w:rPr>
              <w:t>按年计算的</w:t>
            </w:r>
            <w:r>
              <w:rPr>
                <w:rFonts w:hint="eastAsia" w:ascii="宋体" w:hAnsi="宋体" w:eastAsia="宋体" w:cs="宋体"/>
                <w:i w:val="0"/>
                <w:iCs w:val="0"/>
                <w:color w:val="000000"/>
                <w:kern w:val="0"/>
                <w:sz w:val="18"/>
                <w:szCs w:val="18"/>
                <w:u w:val="none"/>
                <w:lang w:val="en-US" w:eastAsia="zh-CN" w:bidi="ar"/>
              </w:rPr>
              <w:t>机动车有效停放量为</w:t>
            </w:r>
            <w:r>
              <w:rPr>
                <w:rFonts w:hint="eastAsia" w:ascii="宋体" w:hAnsi="宋体" w:eastAsia="宋体" w:cs="宋体"/>
                <w:sz w:val="18"/>
                <w:szCs w:val="18"/>
                <w:lang w:val="en-US" w:eastAsia="zh-CN"/>
              </w:rPr>
              <w:t>12,934,899.20小时。</w:t>
            </w:r>
          </w:p>
        </w:tc>
      </w:tr>
    </w:tbl>
    <w:p/>
    <w:sectPr>
      <w:pgSz w:w="11906" w:h="16838"/>
      <w:pgMar w:top="1440" w:right="1800" w:bottom="104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3123F3"/>
    <w:rsid w:val="1D7C4431"/>
    <w:rsid w:val="24634140"/>
    <w:rsid w:val="272B5C27"/>
    <w:rsid w:val="3D3123F3"/>
    <w:rsid w:val="75D91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2024-12-06T02:49:00Z</dcterms:created>
  <dc:creator>Administrator</dc:creator>
  <cp:lastModifiedBy>Administrator</cp:lastModifiedBy>
  <dcterms:modified xsi:type="dcterms:W3CDTF">2025-03-21T08:24:15Z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D667D7D931384FE69BE98A46D6F8B895</vt:lpwstr>
  </property>
</Properties>
</file>