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60" w:lineRule="exact"/>
        <w:jc w:val="center"/>
        <w:textAlignment w:val="auto"/>
        <w:rPr>
          <w:rFonts w:hint="eastAsia" w:ascii="方正小标宋简体" w:hAnsi="方正小标宋简体" w:eastAsia="方正小标宋简体" w:cs="方正小标宋简体"/>
          <w:b w:val="0"/>
          <w:bCs w:val="0"/>
          <w:sz w:val="48"/>
          <w:szCs w:val="48"/>
          <w:lang w:eastAsia="zh-CN"/>
        </w:rPr>
      </w:pPr>
    </w:p>
    <w:p>
      <w:pPr>
        <w:keepNext w:val="0"/>
        <w:keepLines w:val="0"/>
        <w:pageBreakBefore w:val="0"/>
        <w:widowControl w:val="0"/>
        <w:kinsoku/>
        <w:wordWrap/>
        <w:overflowPunct/>
        <w:topLinePunct w:val="0"/>
        <w:autoSpaceDE/>
        <w:autoSpaceDN/>
        <w:bidi w:val="0"/>
        <w:adjustRightInd/>
        <w:snapToGrid/>
        <w:spacing w:line="660" w:lineRule="exact"/>
        <w:jc w:val="center"/>
        <w:textAlignment w:val="auto"/>
        <w:rPr>
          <w:rFonts w:hint="eastAsia" w:ascii="方正小标宋简体" w:hAnsi="方正小标宋简体" w:eastAsia="方正小标宋简体" w:cs="方正小标宋简体"/>
          <w:b w:val="0"/>
          <w:bCs w:val="0"/>
          <w:sz w:val="44"/>
          <w:szCs w:val="44"/>
          <w:lang w:eastAsia="zh-CN"/>
        </w:rPr>
      </w:pPr>
      <w:r>
        <w:rPr>
          <w:rFonts w:hint="eastAsia" w:ascii="方正小标宋简体" w:hAnsi="方正小标宋简体" w:eastAsia="方正小标宋简体" w:cs="方正小标宋简体"/>
          <w:b w:val="0"/>
          <w:bCs w:val="0"/>
          <w:sz w:val="44"/>
          <w:szCs w:val="44"/>
          <w:lang w:eastAsia="zh-CN"/>
        </w:rPr>
        <w:t>阳山县县城市政道路智慧停车泊位机动车停放服务收费标准方案（征求意见稿）</w:t>
      </w:r>
    </w:p>
    <w:p>
      <w:pPr>
        <w:ind w:firstLine="632" w:firstLineChars="200"/>
        <w:rPr>
          <w:rFonts w:hint="eastAsia" w:ascii="仿宋" w:hAnsi="仿宋" w:eastAsia="仿宋" w:cs="仿宋"/>
          <w:sz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为</w:t>
      </w:r>
      <w:r>
        <w:rPr>
          <w:rFonts w:hint="eastAsia" w:ascii="仿宋_GB2312" w:hAnsi="仿宋_GB2312" w:eastAsia="仿宋_GB2312" w:cs="仿宋_GB2312"/>
          <w:sz w:val="32"/>
          <w:szCs w:val="32"/>
        </w:rPr>
        <w:t>促进停车设施建设</w:t>
      </w:r>
      <w:r>
        <w:rPr>
          <w:rFonts w:hint="eastAsia" w:ascii="仿宋_GB2312" w:hAnsi="仿宋_GB2312" w:eastAsia="仿宋_GB2312" w:cs="仿宋_GB2312"/>
          <w:sz w:val="32"/>
          <w:szCs w:val="32"/>
          <w:lang w:eastAsia="zh-CN"/>
        </w:rPr>
        <w:t>和公共资源的有效利用</w:t>
      </w:r>
      <w:r>
        <w:rPr>
          <w:rFonts w:hint="eastAsia" w:ascii="仿宋_GB2312" w:hAnsi="仿宋_GB2312" w:eastAsia="仿宋_GB2312" w:cs="仿宋_GB2312"/>
          <w:sz w:val="32"/>
          <w:szCs w:val="32"/>
        </w:rPr>
        <w:t>，提高停车资源配置效率</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改善县城交通环境，</w:t>
      </w:r>
      <w:r>
        <w:rPr>
          <w:rFonts w:hint="eastAsia" w:ascii="仿宋_GB2312" w:hAnsi="仿宋_GB2312" w:eastAsia="仿宋_GB2312" w:cs="仿宋_GB2312"/>
          <w:sz w:val="32"/>
          <w:szCs w:val="32"/>
        </w:rPr>
        <w:t>规范机动车停放服务收费行为，</w:t>
      </w:r>
      <w:r>
        <w:rPr>
          <w:rFonts w:hint="eastAsia" w:ascii="仿宋_GB2312" w:hAnsi="仿宋_GB2312" w:eastAsia="仿宋_GB2312" w:cs="仿宋_GB2312"/>
          <w:sz w:val="32"/>
          <w:szCs w:val="32"/>
          <w:lang w:val="en-US" w:eastAsia="zh-CN"/>
        </w:rPr>
        <w:t>根据《广东省定价目录（2022年版）》（粤府办〔2022〕5号）、《</w:t>
      </w:r>
      <w:r>
        <w:rPr>
          <w:rFonts w:hint="eastAsia" w:ascii="仿宋_GB2312" w:hAnsi="仿宋_GB2312" w:eastAsia="仿宋_GB2312" w:cs="仿宋_GB2312"/>
          <w:sz w:val="32"/>
          <w:szCs w:val="32"/>
        </w:rPr>
        <w:t>清远市机动车停放服务收费管理实施细则</w:t>
      </w:r>
      <w:r>
        <w:rPr>
          <w:rFonts w:hint="eastAsia" w:ascii="仿宋_GB2312" w:hAnsi="仿宋_GB2312" w:eastAsia="仿宋_GB2312" w:cs="仿宋_GB2312"/>
          <w:sz w:val="32"/>
          <w:szCs w:val="32"/>
          <w:lang w:val="en-US" w:eastAsia="zh-CN"/>
        </w:rPr>
        <w:t>》（清发改规〔2023〕5号）</w:t>
      </w:r>
      <w:r>
        <w:rPr>
          <w:rFonts w:hint="eastAsia" w:ascii="仿宋_GB2312" w:hAnsi="仿宋_GB2312" w:eastAsia="仿宋_GB2312" w:cs="仿宋_GB2312"/>
          <w:sz w:val="32"/>
          <w:szCs w:val="32"/>
        </w:rPr>
        <w:t>等有关规定</w:t>
      </w:r>
      <w:r>
        <w:rPr>
          <w:rFonts w:hint="eastAsia" w:ascii="仿宋_GB2312" w:hAnsi="仿宋_GB2312" w:eastAsia="仿宋_GB2312" w:cs="仿宋_GB2312"/>
          <w:sz w:val="32"/>
          <w:szCs w:val="32"/>
          <w:lang w:eastAsia="zh-CN"/>
        </w:rPr>
        <w:t>，我县县城市政道路智慧停车泊位机动车停放服务收费</w:t>
      </w:r>
      <w:r>
        <w:rPr>
          <w:rFonts w:hint="eastAsia" w:ascii="仿宋_GB2312" w:hAnsi="仿宋_GB2312" w:eastAsia="仿宋_GB2312" w:cs="仿宋_GB2312"/>
          <w:sz w:val="32"/>
          <w:szCs w:val="32"/>
          <w:lang w:val="en-US" w:eastAsia="zh-CN"/>
        </w:rPr>
        <w:t>实行政府指导价管理。</w:t>
      </w:r>
      <w:r>
        <w:rPr>
          <w:rFonts w:hint="eastAsia" w:ascii="仿宋_GB2312" w:hAnsi="仿宋_GB2312" w:eastAsia="仿宋_GB2312" w:cs="仿宋_GB2312"/>
          <w:sz w:val="32"/>
          <w:szCs w:val="32"/>
        </w:rPr>
        <w:t>依据停车设施建设运营成本、市场供求状况、</w:t>
      </w:r>
      <w:r>
        <w:rPr>
          <w:rFonts w:hint="eastAsia" w:ascii="仿宋_GB2312" w:hAnsi="仿宋_GB2312" w:eastAsia="仿宋_GB2312" w:cs="仿宋_GB2312"/>
          <w:sz w:val="32"/>
          <w:szCs w:val="32"/>
          <w:lang w:eastAsia="zh-CN"/>
        </w:rPr>
        <w:t>县</w:t>
      </w:r>
      <w:r>
        <w:rPr>
          <w:rFonts w:hint="eastAsia" w:ascii="仿宋_GB2312" w:hAnsi="仿宋_GB2312" w:eastAsia="仿宋_GB2312" w:cs="仿宋_GB2312"/>
          <w:sz w:val="32"/>
          <w:szCs w:val="32"/>
        </w:rPr>
        <w:t>城综合交通发展要求</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社会承受能力，</w:t>
      </w:r>
      <w:r>
        <w:rPr>
          <w:rFonts w:hint="eastAsia" w:ascii="仿宋_GB2312" w:hAnsi="仿宋_GB2312" w:eastAsia="仿宋_GB2312" w:cs="仿宋_GB2312"/>
          <w:sz w:val="32"/>
          <w:szCs w:val="32"/>
          <w:lang w:eastAsia="zh-CN"/>
        </w:rPr>
        <w:t>并</w:t>
      </w:r>
      <w:r>
        <w:rPr>
          <w:rFonts w:hint="eastAsia" w:ascii="仿宋_GB2312" w:hAnsi="仿宋_GB2312" w:eastAsia="仿宋_GB2312" w:cs="仿宋_GB2312"/>
          <w:sz w:val="32"/>
          <w:szCs w:val="32"/>
        </w:rPr>
        <w:t>促进停车设施建设和高质量发展</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结合我</w:t>
      </w:r>
      <w:r>
        <w:rPr>
          <w:rFonts w:hint="eastAsia" w:ascii="仿宋_GB2312" w:hAnsi="仿宋_GB2312" w:eastAsia="仿宋_GB2312" w:cs="仿宋_GB2312"/>
          <w:sz w:val="32"/>
          <w:szCs w:val="32"/>
          <w:lang w:eastAsia="zh-CN"/>
        </w:rPr>
        <w:t>县</w:t>
      </w:r>
      <w:r>
        <w:rPr>
          <w:rFonts w:hint="eastAsia" w:ascii="仿宋_GB2312" w:hAnsi="仿宋_GB2312" w:eastAsia="仿宋_GB2312" w:cs="仿宋_GB2312"/>
          <w:sz w:val="32"/>
          <w:szCs w:val="32"/>
        </w:rPr>
        <w:t>实际，制定我</w:t>
      </w:r>
      <w:r>
        <w:rPr>
          <w:rFonts w:hint="eastAsia" w:ascii="仿宋_GB2312" w:hAnsi="仿宋_GB2312" w:eastAsia="仿宋_GB2312" w:cs="仿宋_GB2312"/>
          <w:sz w:val="32"/>
          <w:szCs w:val="32"/>
          <w:lang w:eastAsia="zh-CN"/>
        </w:rPr>
        <w:t>县县城市政道路智慧停车泊位（阳山县公共智慧体系配套建设项目一期）机动车停放服务收费标准方案</w:t>
      </w:r>
      <w:r>
        <w:rPr>
          <w:rFonts w:hint="eastAsia" w:ascii="仿宋_GB2312" w:hAnsi="仿宋_GB2312" w:eastAsia="仿宋_GB2312" w:cs="仿宋_GB2312"/>
          <w:sz w:val="32"/>
          <w:szCs w:val="32"/>
        </w:rPr>
        <w:t>。</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eastAsia="zh-CN"/>
        </w:rPr>
        <w:t>一、</w:t>
      </w:r>
      <w:r>
        <w:rPr>
          <w:rFonts w:hint="eastAsia" w:ascii="黑体" w:hAnsi="黑体" w:eastAsia="黑体" w:cs="黑体"/>
          <w:sz w:val="32"/>
          <w:szCs w:val="32"/>
          <w:lang w:val="en-US" w:eastAsia="zh-CN"/>
        </w:rPr>
        <w:t>收费标准</w:t>
      </w:r>
    </w:p>
    <w:p>
      <w:pPr>
        <w:pStyle w:val="2"/>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32"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i w:val="0"/>
          <w:caps w:val="0"/>
          <w:color w:val="000000"/>
          <w:spacing w:val="0"/>
          <w:sz w:val="32"/>
          <w:szCs w:val="32"/>
          <w:shd w:val="clear" w:color="070000" w:fill="FFFFFF"/>
          <w:lang w:val="en-US" w:eastAsia="zh-CN"/>
        </w:rPr>
        <w:t>在</w:t>
      </w:r>
      <w:r>
        <w:rPr>
          <w:rFonts w:hint="eastAsia" w:ascii="仿宋_GB2312" w:hAnsi="仿宋_GB2312" w:eastAsia="仿宋_GB2312" w:cs="仿宋_GB2312"/>
          <w:sz w:val="32"/>
          <w:szCs w:val="32"/>
          <w:lang w:val="en-US" w:eastAsia="zh-CN"/>
        </w:rPr>
        <w:t>定价成本调查审核的基础上，</w:t>
      </w:r>
      <w:r>
        <w:rPr>
          <w:rFonts w:hint="eastAsia" w:ascii="仿宋_GB2312" w:hAnsi="仿宋_GB2312" w:eastAsia="仿宋_GB2312" w:cs="仿宋_GB2312"/>
          <w:sz w:val="32"/>
          <w:szCs w:val="32"/>
        </w:rPr>
        <w:t>综合考虑停车设施等级、服务条件、供求关系</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社会承受能力</w:t>
      </w:r>
      <w:r>
        <w:rPr>
          <w:rFonts w:hint="eastAsia" w:ascii="仿宋_GB2312" w:hAnsi="仿宋_GB2312" w:eastAsia="仿宋_GB2312" w:cs="仿宋_GB2312"/>
          <w:sz w:val="32"/>
          <w:szCs w:val="32"/>
          <w:lang w:eastAsia="zh-CN"/>
        </w:rPr>
        <w:t>及有效收费率（按可研报告预测的</w:t>
      </w:r>
      <w:r>
        <w:rPr>
          <w:rFonts w:hint="eastAsia" w:ascii="仿宋_GB2312" w:hAnsi="仿宋_GB2312" w:eastAsia="仿宋_GB2312" w:cs="仿宋_GB2312"/>
          <w:sz w:val="32"/>
          <w:szCs w:val="32"/>
          <w:lang w:val="en-US" w:eastAsia="zh-CN"/>
        </w:rPr>
        <w:t>75%算）</w:t>
      </w:r>
      <w:r>
        <w:rPr>
          <w:rFonts w:hint="eastAsia" w:ascii="仿宋_GB2312" w:hAnsi="仿宋_GB2312" w:eastAsia="仿宋_GB2312" w:cs="仿宋_GB2312"/>
          <w:sz w:val="32"/>
          <w:szCs w:val="32"/>
        </w:rPr>
        <w:t>等因素，区分不同</w:t>
      </w:r>
      <w:r>
        <w:rPr>
          <w:rFonts w:hint="eastAsia" w:ascii="仿宋_GB2312" w:hAnsi="仿宋_GB2312" w:eastAsia="仿宋_GB2312" w:cs="仿宋_GB2312"/>
          <w:sz w:val="32"/>
          <w:szCs w:val="32"/>
          <w:lang w:eastAsia="zh-CN"/>
        </w:rPr>
        <w:t>路段</w:t>
      </w:r>
      <w:r>
        <w:rPr>
          <w:rFonts w:hint="eastAsia" w:ascii="仿宋_GB2312" w:hAnsi="仿宋_GB2312" w:eastAsia="仿宋_GB2312" w:cs="仿宋_GB2312"/>
          <w:sz w:val="32"/>
          <w:szCs w:val="32"/>
        </w:rPr>
        <w:t>、时段、 占用时长等，</w:t>
      </w:r>
      <w:r>
        <w:rPr>
          <w:rFonts w:hint="eastAsia" w:ascii="仿宋_GB2312" w:hAnsi="仿宋_GB2312" w:eastAsia="仿宋_GB2312" w:cs="仿宋_GB2312"/>
          <w:sz w:val="32"/>
          <w:szCs w:val="32"/>
          <w:lang w:eastAsia="zh-CN"/>
        </w:rPr>
        <w:t>拟</w:t>
      </w:r>
      <w:r>
        <w:rPr>
          <w:rFonts w:hint="eastAsia" w:ascii="仿宋_GB2312" w:hAnsi="仿宋_GB2312" w:eastAsia="仿宋_GB2312" w:cs="仿宋_GB2312"/>
          <w:sz w:val="32"/>
          <w:szCs w:val="32"/>
        </w:rPr>
        <w:t>定差异化收费标准，</w:t>
      </w:r>
      <w:r>
        <w:rPr>
          <w:rFonts w:hint="eastAsia" w:ascii="仿宋_GB2312" w:hAnsi="仿宋_GB2312" w:eastAsia="仿宋_GB2312" w:cs="仿宋_GB2312"/>
          <w:sz w:val="32"/>
          <w:szCs w:val="32"/>
          <w:lang w:eastAsia="zh-CN"/>
        </w:rPr>
        <w:t>并设置最高收费标准，具体收费标准如下：</w:t>
      </w:r>
    </w:p>
    <w:p>
      <w:pPr>
        <w:jc w:val="center"/>
        <w:rPr>
          <w:rFonts w:hint="eastAsia" w:ascii="宋体" w:hAnsi="宋体" w:eastAsia="宋体" w:cs="宋体"/>
          <w:b/>
          <w:bCs/>
          <w:sz w:val="28"/>
          <w:szCs w:val="28"/>
          <w:lang w:eastAsia="zh-CN"/>
        </w:rPr>
      </w:pPr>
      <w:r>
        <w:rPr>
          <w:rFonts w:hint="eastAsia" w:ascii="宋体" w:hAnsi="宋体" w:eastAsia="宋体" w:cs="宋体"/>
          <w:b/>
          <w:bCs/>
          <w:sz w:val="28"/>
          <w:szCs w:val="28"/>
          <w:lang w:eastAsia="zh-CN"/>
        </w:rPr>
        <w:t>阳山县县城市政道路智慧停车泊位机动车停放服务收费标准表</w:t>
      </w:r>
    </w:p>
    <w:tbl>
      <w:tblPr>
        <w:tblStyle w:val="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45"/>
        <w:gridCol w:w="2034"/>
        <w:gridCol w:w="1688"/>
        <w:gridCol w:w="1215"/>
        <w:gridCol w:w="27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1" w:hRule="atLeast"/>
          <w:jc w:val="center"/>
        </w:trPr>
        <w:tc>
          <w:tcPr>
            <w:tcW w:w="3079" w:type="dxa"/>
            <w:gridSpan w:val="2"/>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eastAsiaTheme="minorEastAsia"/>
                <w:sz w:val="24"/>
                <w:szCs w:val="24"/>
                <w:vertAlign w:val="baseline"/>
                <w:lang w:eastAsia="zh-CN"/>
              </w:rPr>
            </w:pPr>
            <w:r>
              <w:rPr>
                <w:rFonts w:hint="eastAsia"/>
                <w:sz w:val="24"/>
                <w:szCs w:val="24"/>
                <w:vertAlign w:val="baseline"/>
                <w:lang w:eastAsia="zh-CN"/>
              </w:rPr>
              <w:t>收费时段</w:t>
            </w:r>
          </w:p>
        </w:tc>
        <w:tc>
          <w:tcPr>
            <w:tcW w:w="1688" w:type="dxa"/>
          </w:tcPr>
          <w:p>
            <w:pPr>
              <w:keepNext w:val="0"/>
              <w:keepLines w:val="0"/>
              <w:pageBreakBefore w:val="0"/>
              <w:widowControl w:val="0"/>
              <w:kinsoku/>
              <w:wordWrap/>
              <w:overflowPunct/>
              <w:topLinePunct w:val="0"/>
              <w:autoSpaceDE/>
              <w:autoSpaceDN/>
              <w:bidi w:val="0"/>
              <w:adjustRightInd/>
              <w:snapToGrid/>
              <w:spacing w:line="660" w:lineRule="exact"/>
              <w:jc w:val="center"/>
              <w:textAlignment w:val="auto"/>
              <w:rPr>
                <w:rFonts w:hint="eastAsia" w:eastAsiaTheme="minorEastAsia"/>
                <w:sz w:val="24"/>
                <w:szCs w:val="24"/>
                <w:vertAlign w:val="baseline"/>
                <w:lang w:eastAsia="zh-CN"/>
              </w:rPr>
            </w:pPr>
            <w:r>
              <w:rPr>
                <w:rFonts w:hint="eastAsia"/>
                <w:sz w:val="24"/>
                <w:szCs w:val="24"/>
                <w:vertAlign w:val="baseline"/>
                <w:lang w:eastAsia="zh-CN"/>
              </w:rPr>
              <w:t>收费路段</w:t>
            </w:r>
          </w:p>
        </w:tc>
        <w:tc>
          <w:tcPr>
            <w:tcW w:w="1215" w:type="dxa"/>
          </w:tcPr>
          <w:p>
            <w:pPr>
              <w:keepNext w:val="0"/>
              <w:keepLines w:val="0"/>
              <w:pageBreakBefore w:val="0"/>
              <w:widowControl w:val="0"/>
              <w:kinsoku/>
              <w:wordWrap/>
              <w:overflowPunct/>
              <w:topLinePunct w:val="0"/>
              <w:autoSpaceDE/>
              <w:autoSpaceDN/>
              <w:bidi w:val="0"/>
              <w:adjustRightInd/>
              <w:snapToGrid/>
              <w:spacing w:line="660" w:lineRule="exact"/>
              <w:jc w:val="center"/>
              <w:textAlignment w:val="auto"/>
              <w:rPr>
                <w:sz w:val="24"/>
                <w:szCs w:val="24"/>
                <w:vertAlign w:val="baseline"/>
              </w:rPr>
            </w:pPr>
            <w:r>
              <w:rPr>
                <w:rFonts w:hint="eastAsia"/>
                <w:sz w:val="24"/>
                <w:szCs w:val="24"/>
                <w:vertAlign w:val="baseline"/>
                <w:lang w:eastAsia="zh-CN"/>
              </w:rPr>
              <w:t>计算单位</w:t>
            </w:r>
          </w:p>
        </w:tc>
        <w:tc>
          <w:tcPr>
            <w:tcW w:w="2760" w:type="dxa"/>
            <w:vAlign w:val="center"/>
          </w:tcPr>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eastAsiaTheme="minorEastAsia"/>
                <w:sz w:val="24"/>
                <w:szCs w:val="24"/>
                <w:vertAlign w:val="baseline"/>
                <w:lang w:eastAsia="zh-CN"/>
              </w:rPr>
            </w:pPr>
            <w:r>
              <w:rPr>
                <w:rFonts w:hint="eastAsia"/>
                <w:sz w:val="24"/>
                <w:szCs w:val="24"/>
                <w:vertAlign w:val="baseline"/>
                <w:lang w:eastAsia="zh-CN"/>
              </w:rPr>
              <w:t>收费标准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45" w:type="dxa"/>
            <w:vMerge w:val="restart"/>
            <w:vAlign w:val="center"/>
          </w:tcPr>
          <w:p>
            <w:pPr>
              <w:jc w:val="center"/>
              <w:rPr>
                <w:rFonts w:hint="eastAsia" w:ascii="仿宋" w:hAnsi="仿宋" w:eastAsia="仿宋" w:cs="仿宋"/>
                <w:sz w:val="21"/>
                <w:szCs w:val="21"/>
                <w:vertAlign w:val="baseline"/>
                <w:lang w:eastAsia="zh-CN"/>
              </w:rPr>
            </w:pPr>
            <w:r>
              <w:rPr>
                <w:rFonts w:hint="eastAsia" w:ascii="仿宋" w:hAnsi="仿宋" w:eastAsia="仿宋" w:cs="仿宋"/>
                <w:sz w:val="21"/>
                <w:szCs w:val="21"/>
                <w:vertAlign w:val="baseline"/>
                <w:lang w:eastAsia="zh-CN"/>
              </w:rPr>
              <w:t>白天时段</w:t>
            </w:r>
          </w:p>
          <w:p>
            <w:pPr>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8:00-22:00</w:t>
            </w:r>
          </w:p>
        </w:tc>
        <w:tc>
          <w:tcPr>
            <w:tcW w:w="2034" w:type="dxa"/>
          </w:tcPr>
          <w:p>
            <w:pP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30分钟内（含30分钟）</w:t>
            </w:r>
          </w:p>
        </w:tc>
        <w:tc>
          <w:tcPr>
            <w:tcW w:w="1688" w:type="dxa"/>
            <w:vAlign w:val="center"/>
          </w:tcPr>
          <w:p>
            <w:pPr>
              <w:jc w:val="center"/>
              <w:rPr>
                <w:rFonts w:hint="eastAsia" w:ascii="仿宋" w:hAnsi="仿宋" w:eastAsia="仿宋" w:cs="仿宋"/>
                <w:sz w:val="21"/>
                <w:szCs w:val="21"/>
                <w:vertAlign w:val="baseline"/>
                <w:lang w:eastAsia="zh-CN"/>
              </w:rPr>
            </w:pPr>
            <w:r>
              <w:rPr>
                <w:rFonts w:hint="eastAsia" w:ascii="仿宋" w:hAnsi="仿宋" w:eastAsia="仿宋" w:cs="仿宋"/>
                <w:sz w:val="21"/>
                <w:szCs w:val="21"/>
                <w:vertAlign w:val="baseline"/>
                <w:lang w:eastAsia="zh-CN"/>
              </w:rPr>
              <w:t>不分路段</w:t>
            </w:r>
          </w:p>
        </w:tc>
        <w:tc>
          <w:tcPr>
            <w:tcW w:w="1215" w:type="dxa"/>
            <w:vMerge w:val="restart"/>
            <w:vAlign w:val="center"/>
          </w:tcPr>
          <w:p>
            <w:pPr>
              <w:jc w:val="center"/>
              <w:rPr>
                <w:rFonts w:hint="eastAsia" w:ascii="仿宋" w:hAnsi="仿宋" w:eastAsia="仿宋" w:cs="仿宋"/>
                <w:sz w:val="21"/>
                <w:szCs w:val="21"/>
                <w:vertAlign w:val="baseline"/>
                <w:lang w:eastAsia="zh-CN"/>
              </w:rPr>
            </w:pPr>
          </w:p>
          <w:p>
            <w:pPr>
              <w:jc w:val="center"/>
              <w:rPr>
                <w:rFonts w:hint="eastAsia" w:ascii="仿宋" w:hAnsi="仿宋" w:eastAsia="仿宋" w:cs="仿宋"/>
                <w:sz w:val="21"/>
                <w:szCs w:val="21"/>
                <w:vertAlign w:val="baseline"/>
                <w:lang w:eastAsia="zh-CN"/>
              </w:rPr>
            </w:pPr>
            <w:r>
              <w:rPr>
                <w:rFonts w:hint="eastAsia" w:ascii="仿宋" w:hAnsi="仿宋" w:eastAsia="仿宋" w:cs="仿宋"/>
                <w:sz w:val="21"/>
                <w:szCs w:val="21"/>
                <w:vertAlign w:val="baseline"/>
                <w:lang w:eastAsia="zh-CN"/>
              </w:rPr>
              <w:t>辆</w:t>
            </w:r>
            <w:r>
              <w:rPr>
                <w:rFonts w:hint="eastAsia" w:ascii="仿宋" w:hAnsi="仿宋" w:eastAsia="仿宋" w:cs="仿宋"/>
                <w:sz w:val="21"/>
                <w:szCs w:val="21"/>
                <w:vertAlign w:val="baseline"/>
                <w:lang w:val="en-US" w:eastAsia="zh-CN"/>
              </w:rPr>
              <w:t>/位/次</w:t>
            </w:r>
          </w:p>
          <w:p>
            <w:pPr>
              <w:jc w:val="center"/>
              <w:rPr>
                <w:rFonts w:hint="eastAsia" w:ascii="仿宋" w:hAnsi="仿宋" w:eastAsia="仿宋" w:cs="仿宋"/>
                <w:sz w:val="21"/>
                <w:szCs w:val="21"/>
                <w:vertAlign w:val="baseline"/>
              </w:rPr>
            </w:pPr>
          </w:p>
        </w:tc>
        <w:tc>
          <w:tcPr>
            <w:tcW w:w="2760" w:type="dxa"/>
            <w:vAlign w:val="center"/>
          </w:tcPr>
          <w:p>
            <w:pPr>
              <w:bidi w:val="0"/>
              <w:jc w:val="center"/>
              <w:rPr>
                <w:rFonts w:hint="eastAsia" w:ascii="仿宋" w:hAnsi="仿宋" w:eastAsia="仿宋" w:cs="仿宋"/>
                <w:kern w:val="2"/>
                <w:sz w:val="21"/>
                <w:szCs w:val="21"/>
                <w:lang w:val="en-US" w:eastAsia="zh-CN" w:bidi="ar-SA"/>
              </w:rPr>
            </w:pPr>
            <w:r>
              <w:rPr>
                <w:rFonts w:hint="eastAsia" w:ascii="仿宋" w:hAnsi="仿宋" w:eastAsia="仿宋" w:cs="仿宋"/>
                <w:kern w:val="2"/>
                <w:sz w:val="21"/>
                <w:szCs w:val="21"/>
                <w:lang w:val="en-US" w:eastAsia="zh-CN" w:bidi="ar-SA"/>
              </w:rPr>
              <w:t>免费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45" w:type="dxa"/>
            <w:vMerge w:val="continue"/>
          </w:tcPr>
          <w:p>
            <w:pPr>
              <w:rPr>
                <w:rFonts w:hint="eastAsia" w:ascii="仿宋" w:hAnsi="仿宋" w:eastAsia="仿宋" w:cs="仿宋"/>
                <w:sz w:val="21"/>
                <w:szCs w:val="21"/>
                <w:vertAlign w:val="baseline"/>
              </w:rPr>
            </w:pPr>
          </w:p>
        </w:tc>
        <w:tc>
          <w:tcPr>
            <w:tcW w:w="2034" w:type="dxa"/>
            <w:vMerge w:val="restart"/>
            <w:vAlign w:val="center"/>
          </w:tcPr>
          <w:p>
            <w:pPr>
              <w:jc w:val="both"/>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2小时内（含2小时）</w:t>
            </w:r>
          </w:p>
        </w:tc>
        <w:tc>
          <w:tcPr>
            <w:tcW w:w="1688" w:type="dxa"/>
            <w:vAlign w:val="center"/>
          </w:tcPr>
          <w:p>
            <w:pPr>
              <w:jc w:val="center"/>
              <w:rPr>
                <w:rFonts w:hint="eastAsia" w:ascii="仿宋" w:hAnsi="仿宋" w:eastAsia="仿宋" w:cs="仿宋"/>
                <w:sz w:val="21"/>
                <w:szCs w:val="21"/>
                <w:vertAlign w:val="baseline"/>
                <w:lang w:eastAsia="zh-CN"/>
              </w:rPr>
            </w:pPr>
            <w:r>
              <w:rPr>
                <w:rFonts w:hint="eastAsia" w:ascii="仿宋" w:hAnsi="仿宋" w:eastAsia="仿宋" w:cs="仿宋"/>
                <w:sz w:val="21"/>
                <w:szCs w:val="21"/>
                <w:vertAlign w:val="baseline"/>
                <w:lang w:eastAsia="zh-CN"/>
              </w:rPr>
              <w:t>一类</w:t>
            </w:r>
          </w:p>
        </w:tc>
        <w:tc>
          <w:tcPr>
            <w:tcW w:w="1215" w:type="dxa"/>
            <w:vMerge w:val="continue"/>
          </w:tcPr>
          <w:p>
            <w:pPr>
              <w:rPr>
                <w:rFonts w:hint="eastAsia" w:ascii="仿宋" w:hAnsi="仿宋" w:eastAsia="仿宋" w:cs="仿宋"/>
                <w:sz w:val="21"/>
                <w:szCs w:val="21"/>
                <w:vertAlign w:val="baseline"/>
              </w:rPr>
            </w:pPr>
          </w:p>
        </w:tc>
        <w:tc>
          <w:tcPr>
            <w:tcW w:w="2760" w:type="dxa"/>
            <w:vAlign w:val="center"/>
          </w:tcPr>
          <w:p>
            <w:pPr>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3元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45" w:type="dxa"/>
            <w:vMerge w:val="continue"/>
          </w:tcPr>
          <w:p>
            <w:pPr>
              <w:rPr>
                <w:rFonts w:hint="eastAsia" w:ascii="仿宋" w:hAnsi="仿宋" w:eastAsia="仿宋" w:cs="仿宋"/>
                <w:sz w:val="21"/>
                <w:szCs w:val="21"/>
                <w:vertAlign w:val="baseline"/>
              </w:rPr>
            </w:pPr>
          </w:p>
        </w:tc>
        <w:tc>
          <w:tcPr>
            <w:tcW w:w="2034" w:type="dxa"/>
            <w:vMerge w:val="continue"/>
          </w:tcPr>
          <w:p>
            <w:pPr>
              <w:rPr>
                <w:rFonts w:hint="eastAsia" w:ascii="仿宋" w:hAnsi="仿宋" w:eastAsia="仿宋" w:cs="仿宋"/>
                <w:sz w:val="21"/>
                <w:szCs w:val="21"/>
                <w:vertAlign w:val="baseline"/>
              </w:rPr>
            </w:pPr>
          </w:p>
        </w:tc>
        <w:tc>
          <w:tcPr>
            <w:tcW w:w="1688" w:type="dxa"/>
            <w:vAlign w:val="center"/>
          </w:tcPr>
          <w:p>
            <w:pPr>
              <w:jc w:val="center"/>
              <w:rPr>
                <w:rFonts w:hint="eastAsia" w:ascii="仿宋" w:hAnsi="仿宋" w:eastAsia="仿宋" w:cs="仿宋"/>
                <w:sz w:val="21"/>
                <w:szCs w:val="21"/>
                <w:vertAlign w:val="baseline"/>
                <w:lang w:eastAsia="zh-CN"/>
              </w:rPr>
            </w:pPr>
            <w:r>
              <w:rPr>
                <w:rFonts w:hint="eastAsia" w:ascii="仿宋" w:hAnsi="仿宋" w:eastAsia="仿宋" w:cs="仿宋"/>
                <w:sz w:val="21"/>
                <w:szCs w:val="21"/>
                <w:vertAlign w:val="baseline"/>
                <w:lang w:eastAsia="zh-CN"/>
              </w:rPr>
              <w:t>二类</w:t>
            </w:r>
          </w:p>
        </w:tc>
        <w:tc>
          <w:tcPr>
            <w:tcW w:w="1215" w:type="dxa"/>
            <w:vMerge w:val="continue"/>
          </w:tcPr>
          <w:p>
            <w:pPr>
              <w:rPr>
                <w:rFonts w:hint="eastAsia" w:ascii="仿宋" w:hAnsi="仿宋" w:eastAsia="仿宋" w:cs="仿宋"/>
                <w:sz w:val="21"/>
                <w:szCs w:val="21"/>
                <w:vertAlign w:val="baseline"/>
              </w:rPr>
            </w:pPr>
          </w:p>
        </w:tc>
        <w:tc>
          <w:tcPr>
            <w:tcW w:w="2760" w:type="dxa"/>
            <w:vAlign w:val="center"/>
          </w:tcPr>
          <w:p>
            <w:pPr>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45" w:type="dxa"/>
            <w:vMerge w:val="continue"/>
          </w:tcPr>
          <w:p>
            <w:pPr>
              <w:rPr>
                <w:rFonts w:hint="eastAsia" w:ascii="仿宋" w:hAnsi="仿宋" w:eastAsia="仿宋" w:cs="仿宋"/>
                <w:sz w:val="21"/>
                <w:szCs w:val="21"/>
                <w:vertAlign w:val="baseline"/>
              </w:rPr>
            </w:pPr>
          </w:p>
        </w:tc>
        <w:tc>
          <w:tcPr>
            <w:tcW w:w="2034" w:type="dxa"/>
            <w:vAlign w:val="center"/>
          </w:tcPr>
          <w:p>
            <w:pPr>
              <w:jc w:val="center"/>
              <w:rPr>
                <w:rFonts w:hint="eastAsia" w:ascii="仿宋" w:hAnsi="仿宋" w:eastAsia="仿宋" w:cs="仿宋"/>
                <w:sz w:val="21"/>
                <w:szCs w:val="21"/>
                <w:vertAlign w:val="baseline"/>
              </w:rPr>
            </w:pPr>
            <w:r>
              <w:rPr>
                <w:rFonts w:hint="eastAsia" w:ascii="仿宋" w:hAnsi="仿宋" w:eastAsia="仿宋" w:cs="仿宋"/>
                <w:sz w:val="21"/>
                <w:szCs w:val="21"/>
                <w:vertAlign w:val="baseline"/>
                <w:lang w:val="en-US" w:eastAsia="zh-CN"/>
              </w:rPr>
              <w:t>2小时以上</w:t>
            </w:r>
          </w:p>
        </w:tc>
        <w:tc>
          <w:tcPr>
            <w:tcW w:w="1688" w:type="dxa"/>
            <w:vAlign w:val="center"/>
          </w:tcPr>
          <w:p>
            <w:pPr>
              <w:jc w:val="center"/>
              <w:rPr>
                <w:rFonts w:hint="eastAsia" w:ascii="仿宋" w:hAnsi="仿宋" w:eastAsia="仿宋" w:cs="仿宋"/>
                <w:sz w:val="21"/>
                <w:szCs w:val="21"/>
                <w:vertAlign w:val="baseline"/>
                <w:lang w:eastAsia="zh-CN"/>
              </w:rPr>
            </w:pPr>
            <w:r>
              <w:rPr>
                <w:rFonts w:hint="eastAsia" w:ascii="仿宋" w:hAnsi="仿宋" w:eastAsia="仿宋" w:cs="仿宋"/>
                <w:sz w:val="21"/>
                <w:szCs w:val="21"/>
                <w:vertAlign w:val="baseline"/>
                <w:lang w:eastAsia="zh-CN"/>
              </w:rPr>
              <w:t>不分路段</w:t>
            </w:r>
          </w:p>
        </w:tc>
        <w:tc>
          <w:tcPr>
            <w:tcW w:w="1215" w:type="dxa"/>
            <w:vMerge w:val="continue"/>
          </w:tcPr>
          <w:p>
            <w:pPr>
              <w:rPr>
                <w:rFonts w:hint="eastAsia" w:ascii="仿宋" w:hAnsi="仿宋" w:eastAsia="仿宋" w:cs="仿宋"/>
                <w:sz w:val="21"/>
                <w:szCs w:val="21"/>
                <w:vertAlign w:val="baseline"/>
              </w:rPr>
            </w:pPr>
          </w:p>
        </w:tc>
        <w:tc>
          <w:tcPr>
            <w:tcW w:w="2760" w:type="dxa"/>
          </w:tcPr>
          <w:p>
            <w:pP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eastAsia="zh-CN"/>
              </w:rPr>
              <w:t>加收</w:t>
            </w:r>
            <w:r>
              <w:rPr>
                <w:rFonts w:hint="eastAsia" w:ascii="仿宋" w:hAnsi="仿宋" w:eastAsia="仿宋" w:cs="仿宋"/>
                <w:sz w:val="21"/>
                <w:szCs w:val="21"/>
                <w:vertAlign w:val="baseline"/>
                <w:lang w:val="en-US" w:eastAsia="zh-CN"/>
              </w:rPr>
              <w:t>1元/小时（不足1小时按1小时计算）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45" w:type="dxa"/>
            <w:vMerge w:val="restart"/>
            <w:vAlign w:val="center"/>
          </w:tcPr>
          <w:p>
            <w:pPr>
              <w:jc w:val="center"/>
              <w:rPr>
                <w:rFonts w:hint="eastAsia" w:ascii="仿宋" w:hAnsi="仿宋" w:eastAsia="仿宋" w:cs="仿宋"/>
                <w:sz w:val="21"/>
                <w:szCs w:val="21"/>
                <w:vertAlign w:val="baseline"/>
                <w:lang w:eastAsia="zh-CN"/>
              </w:rPr>
            </w:pPr>
            <w:r>
              <w:rPr>
                <w:rFonts w:hint="eastAsia" w:ascii="仿宋" w:hAnsi="仿宋" w:eastAsia="仿宋" w:cs="仿宋"/>
                <w:sz w:val="21"/>
                <w:szCs w:val="21"/>
                <w:vertAlign w:val="baseline"/>
                <w:lang w:eastAsia="zh-CN"/>
              </w:rPr>
              <w:t>夜间时段</w:t>
            </w:r>
          </w:p>
          <w:p>
            <w:pPr>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22:00-8:00</w:t>
            </w:r>
          </w:p>
        </w:tc>
        <w:tc>
          <w:tcPr>
            <w:tcW w:w="2034" w:type="dxa"/>
          </w:tcPr>
          <w:p>
            <w:pPr>
              <w:rPr>
                <w:rFonts w:hint="eastAsia" w:ascii="仿宋" w:hAnsi="仿宋" w:eastAsia="仿宋" w:cs="仿宋"/>
                <w:sz w:val="21"/>
                <w:szCs w:val="21"/>
                <w:vertAlign w:val="baseline"/>
              </w:rPr>
            </w:pPr>
            <w:r>
              <w:rPr>
                <w:rFonts w:hint="eastAsia" w:ascii="仿宋" w:hAnsi="仿宋" w:eastAsia="仿宋" w:cs="仿宋"/>
                <w:sz w:val="21"/>
                <w:szCs w:val="21"/>
                <w:vertAlign w:val="baseline"/>
                <w:lang w:val="en-US" w:eastAsia="zh-CN"/>
              </w:rPr>
              <w:t>30分钟内（含30分钟）</w:t>
            </w:r>
          </w:p>
        </w:tc>
        <w:tc>
          <w:tcPr>
            <w:tcW w:w="1688" w:type="dxa"/>
            <w:vMerge w:val="restart"/>
            <w:vAlign w:val="center"/>
          </w:tcPr>
          <w:p>
            <w:pPr>
              <w:jc w:val="center"/>
              <w:rPr>
                <w:rFonts w:hint="eastAsia" w:ascii="仿宋" w:hAnsi="仿宋" w:eastAsia="仿宋" w:cs="仿宋"/>
                <w:sz w:val="21"/>
                <w:szCs w:val="21"/>
                <w:vertAlign w:val="baseline"/>
                <w:lang w:eastAsia="zh-CN"/>
              </w:rPr>
            </w:pPr>
            <w:r>
              <w:rPr>
                <w:rFonts w:hint="eastAsia" w:ascii="仿宋" w:hAnsi="仿宋" w:eastAsia="仿宋" w:cs="仿宋"/>
                <w:sz w:val="21"/>
                <w:szCs w:val="21"/>
                <w:vertAlign w:val="baseline"/>
                <w:lang w:eastAsia="zh-CN"/>
              </w:rPr>
              <w:t>不分路段</w:t>
            </w:r>
          </w:p>
          <w:p>
            <w:pPr>
              <w:jc w:val="center"/>
              <w:rPr>
                <w:rFonts w:hint="eastAsia" w:ascii="仿宋" w:hAnsi="仿宋" w:eastAsia="仿宋" w:cs="仿宋"/>
                <w:sz w:val="21"/>
                <w:szCs w:val="21"/>
                <w:vertAlign w:val="baseline"/>
                <w:lang w:eastAsia="zh-CN"/>
              </w:rPr>
            </w:pPr>
          </w:p>
        </w:tc>
        <w:tc>
          <w:tcPr>
            <w:tcW w:w="1215" w:type="dxa"/>
            <w:vMerge w:val="continue"/>
          </w:tcPr>
          <w:p>
            <w:pPr>
              <w:rPr>
                <w:rFonts w:hint="eastAsia" w:ascii="仿宋" w:hAnsi="仿宋" w:eastAsia="仿宋" w:cs="仿宋"/>
                <w:sz w:val="21"/>
                <w:szCs w:val="21"/>
                <w:vertAlign w:val="baseline"/>
              </w:rPr>
            </w:pPr>
          </w:p>
        </w:tc>
        <w:tc>
          <w:tcPr>
            <w:tcW w:w="2760" w:type="dxa"/>
            <w:vAlign w:val="center"/>
          </w:tcPr>
          <w:p>
            <w:pPr>
              <w:jc w:val="center"/>
              <w:rPr>
                <w:rFonts w:hint="eastAsia" w:ascii="仿宋" w:hAnsi="仿宋" w:eastAsia="仿宋" w:cs="仿宋"/>
                <w:sz w:val="21"/>
                <w:szCs w:val="21"/>
                <w:vertAlign w:val="baseline"/>
              </w:rPr>
            </w:pPr>
            <w:r>
              <w:rPr>
                <w:rFonts w:hint="eastAsia" w:ascii="仿宋" w:hAnsi="仿宋" w:eastAsia="仿宋" w:cs="仿宋"/>
                <w:kern w:val="2"/>
                <w:sz w:val="21"/>
                <w:szCs w:val="21"/>
                <w:lang w:val="en-US" w:eastAsia="zh-CN" w:bidi="ar-SA"/>
              </w:rPr>
              <w:t>免费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45" w:type="dxa"/>
            <w:vMerge w:val="continue"/>
          </w:tcPr>
          <w:p>
            <w:pPr>
              <w:rPr>
                <w:rFonts w:hint="eastAsia" w:ascii="仿宋" w:hAnsi="仿宋" w:eastAsia="仿宋" w:cs="仿宋"/>
                <w:sz w:val="21"/>
                <w:szCs w:val="21"/>
                <w:vertAlign w:val="baseline"/>
              </w:rPr>
            </w:pPr>
          </w:p>
        </w:tc>
        <w:tc>
          <w:tcPr>
            <w:tcW w:w="2034" w:type="dxa"/>
          </w:tcPr>
          <w:p>
            <w:pPr>
              <w:rPr>
                <w:rFonts w:hint="eastAsia" w:ascii="仿宋" w:hAnsi="仿宋" w:eastAsia="仿宋" w:cs="仿宋"/>
                <w:sz w:val="21"/>
                <w:szCs w:val="21"/>
                <w:vertAlign w:val="baseline"/>
              </w:rPr>
            </w:pPr>
            <w:r>
              <w:rPr>
                <w:rFonts w:hint="eastAsia" w:ascii="仿宋" w:hAnsi="仿宋" w:eastAsia="仿宋" w:cs="仿宋"/>
                <w:sz w:val="21"/>
                <w:szCs w:val="21"/>
                <w:vertAlign w:val="baseline"/>
                <w:lang w:val="en-US" w:eastAsia="zh-CN"/>
              </w:rPr>
              <w:t>1小时内（含1小时）</w:t>
            </w:r>
          </w:p>
        </w:tc>
        <w:tc>
          <w:tcPr>
            <w:tcW w:w="1688" w:type="dxa"/>
            <w:vMerge w:val="continue"/>
          </w:tcPr>
          <w:p>
            <w:pPr>
              <w:rPr>
                <w:rFonts w:hint="eastAsia" w:ascii="仿宋" w:hAnsi="仿宋" w:eastAsia="仿宋" w:cs="仿宋"/>
                <w:sz w:val="21"/>
                <w:szCs w:val="21"/>
                <w:vertAlign w:val="baseline"/>
                <w:lang w:eastAsia="zh-CN"/>
              </w:rPr>
            </w:pPr>
          </w:p>
        </w:tc>
        <w:tc>
          <w:tcPr>
            <w:tcW w:w="1215" w:type="dxa"/>
            <w:vMerge w:val="continue"/>
          </w:tcPr>
          <w:p>
            <w:pPr>
              <w:rPr>
                <w:rFonts w:hint="eastAsia" w:ascii="仿宋" w:hAnsi="仿宋" w:eastAsia="仿宋" w:cs="仿宋"/>
                <w:sz w:val="21"/>
                <w:szCs w:val="21"/>
                <w:vertAlign w:val="baseline"/>
              </w:rPr>
            </w:pPr>
          </w:p>
        </w:tc>
        <w:tc>
          <w:tcPr>
            <w:tcW w:w="2760" w:type="dxa"/>
            <w:vAlign w:val="center"/>
          </w:tcPr>
          <w:p>
            <w:pPr>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45" w:type="dxa"/>
            <w:vMerge w:val="continue"/>
          </w:tcPr>
          <w:p>
            <w:pPr>
              <w:rPr>
                <w:rFonts w:hint="eastAsia" w:ascii="仿宋" w:hAnsi="仿宋" w:eastAsia="仿宋" w:cs="仿宋"/>
                <w:sz w:val="21"/>
                <w:szCs w:val="21"/>
                <w:vertAlign w:val="baseline"/>
              </w:rPr>
            </w:pPr>
          </w:p>
        </w:tc>
        <w:tc>
          <w:tcPr>
            <w:tcW w:w="2034" w:type="dxa"/>
            <w:vAlign w:val="center"/>
          </w:tcPr>
          <w:p>
            <w:pPr>
              <w:jc w:val="center"/>
              <w:rPr>
                <w:rFonts w:hint="eastAsia" w:ascii="仿宋" w:hAnsi="仿宋" w:eastAsia="仿宋" w:cs="仿宋"/>
                <w:sz w:val="21"/>
                <w:szCs w:val="21"/>
                <w:vertAlign w:val="baseline"/>
                <w:lang w:val="en-US" w:eastAsia="zh-CN"/>
              </w:rPr>
            </w:pPr>
            <w:r>
              <w:rPr>
                <w:rFonts w:hint="eastAsia" w:ascii="仿宋" w:hAnsi="仿宋" w:eastAsia="仿宋" w:cs="仿宋"/>
                <w:sz w:val="21"/>
                <w:szCs w:val="21"/>
                <w:vertAlign w:val="baseline"/>
                <w:lang w:val="en-US" w:eastAsia="zh-CN"/>
              </w:rPr>
              <w:t>1小时以上</w:t>
            </w:r>
          </w:p>
        </w:tc>
        <w:tc>
          <w:tcPr>
            <w:tcW w:w="1688" w:type="dxa"/>
            <w:vMerge w:val="continue"/>
          </w:tcPr>
          <w:p>
            <w:pPr>
              <w:rPr>
                <w:rFonts w:hint="eastAsia" w:ascii="仿宋" w:hAnsi="仿宋" w:eastAsia="仿宋" w:cs="仿宋"/>
                <w:sz w:val="21"/>
                <w:szCs w:val="21"/>
                <w:vertAlign w:val="baseline"/>
              </w:rPr>
            </w:pPr>
          </w:p>
        </w:tc>
        <w:tc>
          <w:tcPr>
            <w:tcW w:w="1215" w:type="dxa"/>
            <w:vMerge w:val="continue"/>
          </w:tcPr>
          <w:p>
            <w:pPr>
              <w:rPr>
                <w:rFonts w:hint="eastAsia" w:ascii="仿宋" w:hAnsi="仿宋" w:eastAsia="仿宋" w:cs="仿宋"/>
                <w:sz w:val="21"/>
                <w:szCs w:val="21"/>
                <w:vertAlign w:val="baseline"/>
              </w:rPr>
            </w:pPr>
          </w:p>
        </w:tc>
        <w:tc>
          <w:tcPr>
            <w:tcW w:w="2760" w:type="dxa"/>
            <w:vAlign w:val="center"/>
          </w:tcPr>
          <w:p>
            <w:pPr>
              <w:jc w:val="both"/>
              <w:rPr>
                <w:rFonts w:hint="eastAsia" w:ascii="仿宋" w:hAnsi="仿宋" w:eastAsia="仿宋" w:cs="仿宋"/>
                <w:sz w:val="21"/>
                <w:szCs w:val="21"/>
                <w:vertAlign w:val="baseline"/>
              </w:rPr>
            </w:pPr>
            <w:r>
              <w:rPr>
                <w:rFonts w:hint="eastAsia" w:ascii="仿宋" w:hAnsi="仿宋" w:eastAsia="仿宋" w:cs="仿宋"/>
                <w:sz w:val="21"/>
                <w:szCs w:val="21"/>
                <w:vertAlign w:val="baseline"/>
                <w:lang w:eastAsia="zh-CN"/>
              </w:rPr>
              <w:t>加收</w:t>
            </w:r>
            <w:r>
              <w:rPr>
                <w:rFonts w:hint="eastAsia" w:ascii="仿宋" w:hAnsi="仿宋" w:eastAsia="仿宋" w:cs="仿宋"/>
                <w:sz w:val="21"/>
                <w:szCs w:val="21"/>
                <w:vertAlign w:val="baseline"/>
                <w:lang w:val="en-US" w:eastAsia="zh-CN"/>
              </w:rPr>
              <w:t>1元/小时（不足1小时按1小时计算）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8742" w:type="dxa"/>
            <w:gridSpan w:val="5"/>
          </w:tcPr>
          <w:p>
            <w:pPr>
              <w:bidi w:val="0"/>
              <w:rPr>
                <w:rFonts w:hint="eastAsia" w:ascii="仿宋" w:hAnsi="仿宋" w:eastAsia="仿宋" w:cs="仿宋"/>
              </w:rPr>
            </w:pPr>
            <w:r>
              <w:rPr>
                <w:rFonts w:hint="eastAsia" w:ascii="仿宋" w:hAnsi="仿宋" w:eastAsia="仿宋" w:cs="仿宋"/>
              </w:rPr>
              <w:t>备注:</w:t>
            </w:r>
          </w:p>
          <w:p>
            <w:pPr>
              <w:bidi w:val="0"/>
              <w:ind w:firstLine="412" w:firstLineChars="200"/>
              <w:rPr>
                <w:rFonts w:hint="eastAsia" w:ascii="仿宋" w:hAnsi="仿宋" w:eastAsia="仿宋" w:cs="仿宋"/>
                <w:lang w:eastAsia="zh-CN"/>
              </w:rPr>
            </w:pPr>
            <w:r>
              <w:rPr>
                <w:rFonts w:hint="eastAsia" w:ascii="仿宋" w:hAnsi="仿宋" w:eastAsia="仿宋" w:cs="仿宋"/>
              </w:rPr>
              <w:t>1.</w:t>
            </w:r>
            <w:r>
              <w:rPr>
                <w:rFonts w:hint="eastAsia" w:ascii="仿宋" w:hAnsi="仿宋" w:eastAsia="仿宋" w:cs="仿宋"/>
                <w:lang w:val="en-US" w:eastAsia="zh-CN"/>
              </w:rPr>
              <w:t>24小时最高收费15元，</w:t>
            </w:r>
            <w:r>
              <w:rPr>
                <w:rFonts w:hint="eastAsia" w:ascii="仿宋" w:hAnsi="仿宋" w:eastAsia="仿宋" w:cs="仿宋"/>
              </w:rPr>
              <w:t>停放时间超过24小时的按上述标准累加收费</w:t>
            </w:r>
            <w:r>
              <w:rPr>
                <w:rFonts w:hint="eastAsia" w:ascii="仿宋" w:hAnsi="仿宋" w:eastAsia="仿宋" w:cs="仿宋"/>
                <w:lang w:eastAsia="zh-CN"/>
              </w:rPr>
              <w:t>。</w:t>
            </w:r>
          </w:p>
          <w:p>
            <w:pPr>
              <w:bidi w:val="0"/>
              <w:ind w:firstLine="412" w:firstLineChars="200"/>
              <w:rPr>
                <w:rFonts w:hint="eastAsia" w:ascii="仿宋" w:hAnsi="仿宋" w:eastAsia="仿宋" w:cs="仿宋"/>
                <w:lang w:eastAsia="zh-CN"/>
              </w:rPr>
            </w:pPr>
            <w:r>
              <w:rPr>
                <w:rFonts w:hint="eastAsia" w:ascii="仿宋" w:hAnsi="仿宋" w:eastAsia="仿宋" w:cs="仿宋"/>
              </w:rPr>
              <w:t>2.进入停车位停车不超过30分钟（含30分钟）</w:t>
            </w:r>
            <w:r>
              <w:rPr>
                <w:rFonts w:hint="eastAsia" w:ascii="仿宋" w:hAnsi="仿宋" w:eastAsia="仿宋" w:cs="仿宋"/>
                <w:lang w:eastAsia="zh-CN"/>
              </w:rPr>
              <w:t>的</w:t>
            </w:r>
            <w:r>
              <w:rPr>
                <w:rFonts w:hint="eastAsia" w:ascii="仿宋" w:hAnsi="仿宋" w:eastAsia="仿宋" w:cs="仿宋"/>
              </w:rPr>
              <w:t>免收费，</w:t>
            </w:r>
            <w:r>
              <w:rPr>
                <w:rFonts w:hint="eastAsia" w:ascii="仿宋" w:hAnsi="仿宋" w:eastAsia="仿宋" w:cs="仿宋"/>
                <w:lang w:eastAsia="zh-CN"/>
              </w:rPr>
              <w:t>跨时段停放只对首个收费时段的免费时间实行免费；</w:t>
            </w:r>
            <w:r>
              <w:rPr>
                <w:rFonts w:hint="eastAsia" w:ascii="仿宋" w:hAnsi="仿宋" w:eastAsia="仿宋" w:cs="仿宋"/>
              </w:rPr>
              <w:t>超过免费时段未出场的，计费时间从入场时起算</w:t>
            </w:r>
            <w:r>
              <w:rPr>
                <w:rFonts w:hint="eastAsia" w:ascii="仿宋" w:hAnsi="仿宋" w:eastAsia="仿宋" w:cs="仿宋"/>
                <w:lang w:eastAsia="zh-CN"/>
              </w:rPr>
              <w:t>。</w:t>
            </w:r>
          </w:p>
          <w:p>
            <w:pPr>
              <w:bidi w:val="0"/>
              <w:ind w:firstLine="412" w:firstLineChars="200"/>
              <w:rPr>
                <w:rFonts w:hint="eastAsia" w:ascii="仿宋" w:hAnsi="仿宋" w:eastAsia="仿宋" w:cs="仿宋"/>
                <w:lang w:eastAsia="zh-CN"/>
              </w:rPr>
            </w:pPr>
            <w:r>
              <w:rPr>
                <w:rFonts w:hint="eastAsia" w:ascii="仿宋" w:hAnsi="仿宋" w:eastAsia="仿宋" w:cs="仿宋"/>
              </w:rPr>
              <w:t>3.大车、超大型车按实际占用停车位个数收费</w:t>
            </w:r>
            <w:r>
              <w:rPr>
                <w:rFonts w:hint="eastAsia" w:ascii="仿宋" w:hAnsi="仿宋" w:eastAsia="仿宋" w:cs="仿宋"/>
                <w:lang w:eastAsia="zh-CN"/>
              </w:rPr>
              <w:t>。</w:t>
            </w:r>
          </w:p>
          <w:p>
            <w:pPr>
              <w:bidi w:val="0"/>
              <w:ind w:firstLine="412" w:firstLineChars="200"/>
              <w:rPr>
                <w:rFonts w:hint="eastAsia" w:ascii="仿宋" w:hAnsi="仿宋" w:eastAsia="仿宋" w:cs="仿宋"/>
                <w:lang w:eastAsia="zh-CN"/>
              </w:rPr>
            </w:pPr>
            <w:r>
              <w:rPr>
                <w:rFonts w:hint="eastAsia" w:ascii="仿宋" w:hAnsi="仿宋" w:eastAsia="仿宋" w:cs="仿宋"/>
                <w:lang w:val="en-US" w:eastAsia="zh-CN"/>
              </w:rPr>
              <w:t>4.</w:t>
            </w:r>
            <w:r>
              <w:rPr>
                <w:rFonts w:hint="eastAsia" w:ascii="仿宋" w:hAnsi="仿宋" w:eastAsia="仿宋" w:cs="仿宋"/>
              </w:rPr>
              <w:t>军警车辆、实施救助的医院救护车及市政</w:t>
            </w:r>
            <w:r>
              <w:rPr>
                <w:rFonts w:hint="eastAsia" w:ascii="仿宋" w:hAnsi="仿宋" w:eastAsia="仿宋" w:cs="仿宋"/>
                <w:lang w:eastAsia="zh-CN"/>
              </w:rPr>
              <w:t>工程</w:t>
            </w:r>
            <w:r>
              <w:rPr>
                <w:rFonts w:hint="eastAsia" w:ascii="仿宋" w:hAnsi="仿宋" w:eastAsia="仿宋" w:cs="仿宋"/>
              </w:rPr>
              <w:t>抢修车辆免费</w:t>
            </w:r>
            <w:r>
              <w:rPr>
                <w:rFonts w:hint="eastAsia" w:ascii="仿宋" w:hAnsi="仿宋" w:eastAsia="仿宋" w:cs="仿宋"/>
                <w:lang w:eastAsia="zh-CN"/>
              </w:rPr>
              <w:t>。</w:t>
            </w:r>
          </w:p>
          <w:p>
            <w:pPr>
              <w:bidi w:val="0"/>
              <w:ind w:firstLine="412" w:firstLineChars="200"/>
              <w:rPr>
                <w:rFonts w:hint="eastAsia" w:ascii="仿宋" w:hAnsi="仿宋" w:eastAsia="仿宋" w:cs="仿宋"/>
              </w:rPr>
            </w:pPr>
            <w:r>
              <w:rPr>
                <w:rFonts w:hint="eastAsia" w:ascii="仿宋" w:hAnsi="仿宋" w:eastAsia="仿宋" w:cs="仿宋"/>
                <w:lang w:val="en-US" w:eastAsia="zh-CN"/>
              </w:rPr>
              <w:t>5.</w:t>
            </w:r>
            <w:r>
              <w:rPr>
                <w:rFonts w:hint="eastAsia" w:ascii="仿宋" w:hAnsi="仿宋" w:eastAsia="仿宋" w:cs="仿宋"/>
              </w:rPr>
              <w:t>法律法规规章规定的其他应当免收机动车停放服务</w:t>
            </w:r>
            <w:r>
              <w:rPr>
                <w:rFonts w:hint="eastAsia" w:ascii="仿宋" w:hAnsi="仿宋" w:eastAsia="仿宋" w:cs="仿宋"/>
                <w:lang w:eastAsia="zh-CN"/>
              </w:rPr>
              <w:t>费</w:t>
            </w:r>
            <w:r>
              <w:rPr>
                <w:rFonts w:hint="eastAsia" w:ascii="仿宋" w:hAnsi="仿宋" w:eastAsia="仿宋" w:cs="仿宋"/>
              </w:rPr>
              <w:t>的车辆免费。</w:t>
            </w:r>
          </w:p>
          <w:p>
            <w:pPr>
              <w:bidi w:val="0"/>
              <w:ind w:firstLine="412" w:firstLineChars="200"/>
              <w:rPr>
                <w:rFonts w:hint="eastAsia" w:ascii="仿宋" w:hAnsi="仿宋" w:eastAsia="仿宋" w:cs="仿宋"/>
                <w:lang w:val="en-US" w:eastAsia="zh-CN"/>
              </w:rPr>
            </w:pPr>
            <w:r>
              <w:rPr>
                <w:rFonts w:hint="eastAsia" w:ascii="仿宋" w:hAnsi="仿宋" w:eastAsia="仿宋" w:cs="仿宋"/>
                <w:lang w:val="en-US" w:eastAsia="zh-CN"/>
              </w:rPr>
              <w:t>6.收费路段：</w:t>
            </w:r>
            <w:r>
              <w:rPr>
                <w:rFonts w:hint="eastAsia" w:ascii="仿宋" w:hAnsi="仿宋" w:eastAsia="仿宋" w:cs="仿宋"/>
                <w:lang w:eastAsia="zh-CN"/>
              </w:rPr>
              <w:t>阳山县公共智慧体系配套建设项目一期</w:t>
            </w:r>
            <w:r>
              <w:rPr>
                <w:rFonts w:hint="eastAsia" w:ascii="仿宋" w:hAnsi="仿宋" w:eastAsia="仿宋" w:cs="仿宋"/>
                <w:lang w:val="en-US" w:eastAsia="zh-CN"/>
              </w:rPr>
              <w:t>建设的</w:t>
            </w:r>
            <w:r>
              <w:rPr>
                <w:rFonts w:hint="eastAsia" w:ascii="仿宋" w:hAnsi="仿宋" w:eastAsia="仿宋" w:cs="仿宋"/>
                <w:lang w:eastAsia="zh-CN"/>
              </w:rPr>
              <w:t>阳山县县城市政道路智慧停车泊位。其中：</w:t>
            </w:r>
            <w:r>
              <w:rPr>
                <w:rFonts w:hint="eastAsia" w:ascii="仿宋" w:hAnsi="仿宋" w:eastAsia="仿宋" w:cs="仿宋"/>
                <w:lang w:val="en-US" w:eastAsia="zh-CN"/>
              </w:rPr>
              <w:t>北门路、文塔路、贤令大道、沿江一路、沿江二路、学贤街、文贤街、阳山大道北、城南大道、江滨中路、连江大道、商业大道为一类路段，其余路段为二类路段。</w:t>
            </w:r>
          </w:p>
          <w:p>
            <w:pPr>
              <w:bidi w:val="0"/>
              <w:ind w:firstLine="412" w:firstLineChars="200"/>
              <w:rPr>
                <w:rFonts w:hint="default" w:eastAsiaTheme="minorEastAsia"/>
                <w:lang w:val="en-US" w:eastAsia="zh-CN"/>
              </w:rPr>
            </w:pPr>
            <w:r>
              <w:rPr>
                <w:rFonts w:hint="eastAsia" w:ascii="仿宋" w:hAnsi="仿宋" w:eastAsia="仿宋" w:cs="仿宋"/>
                <w:lang w:val="en-US" w:eastAsia="zh-CN"/>
              </w:rPr>
              <w:t>7.本收费标准为最高限价，可根据实际降低，但不得突破，并应当按规定明码标价，接受社会监督。</w:t>
            </w:r>
          </w:p>
        </w:tc>
      </w:tr>
    </w:tbl>
    <w:p>
      <w:pPr>
        <w:pStyle w:val="2"/>
        <w:keepNext w:val="0"/>
        <w:keepLines w:val="0"/>
        <w:pageBreakBefore w:val="0"/>
        <w:widowControl w:val="0"/>
        <w:kinsoku/>
        <w:wordWrap/>
        <w:overflowPunct/>
        <w:topLinePunct w:val="0"/>
        <w:autoSpaceDE/>
        <w:autoSpaceDN/>
        <w:bidi w:val="0"/>
        <w:adjustRightInd/>
        <w:snapToGrid/>
        <w:spacing w:line="560" w:lineRule="exact"/>
        <w:ind w:firstLine="632" w:firstLineChars="200"/>
        <w:textAlignment w:val="auto"/>
        <w:rPr>
          <w:rFonts w:hint="eastAsia" w:ascii="黑体" w:hAnsi="黑体" w:eastAsia="黑体" w:cs="黑体"/>
          <w:snapToGrid/>
          <w:sz w:val="32"/>
          <w:lang w:val="en-US" w:eastAsia="zh-CN"/>
        </w:rPr>
      </w:pPr>
      <w:r>
        <w:rPr>
          <w:rFonts w:hint="eastAsia" w:ascii="黑体" w:hAnsi="黑体" w:eastAsia="黑体" w:cs="黑体"/>
          <w:sz w:val="32"/>
          <w:lang w:val="en-US" w:eastAsia="zh-CN"/>
        </w:rPr>
        <w:t>二、收费标准</w:t>
      </w:r>
      <w:r>
        <w:rPr>
          <w:rFonts w:hint="eastAsia" w:ascii="黑体" w:hAnsi="黑体" w:eastAsia="黑体" w:cs="黑体"/>
          <w:snapToGrid/>
          <w:sz w:val="32"/>
          <w:lang w:val="en-US" w:eastAsia="zh-CN"/>
        </w:rPr>
        <w:t>执行的范围、时间、期限</w:t>
      </w:r>
    </w:p>
    <w:p>
      <w:pPr>
        <w:keepNext w:val="0"/>
        <w:keepLines w:val="0"/>
        <w:pageBreakBefore w:val="0"/>
        <w:widowControl w:val="0"/>
        <w:kinsoku/>
        <w:wordWrap/>
        <w:overflowPunct/>
        <w:topLinePunct w:val="0"/>
        <w:autoSpaceDE/>
        <w:autoSpaceDN/>
        <w:bidi w:val="0"/>
        <w:adjustRightInd/>
        <w:snapToGrid/>
        <w:spacing w:line="560" w:lineRule="exact"/>
        <w:ind w:firstLine="640"/>
        <w:jc w:val="both"/>
        <w:textAlignment w:val="auto"/>
        <w:rPr>
          <w:rFonts w:hint="eastAsia" w:ascii="仿宋_GB2312" w:hAnsi="仿宋_GB2312" w:eastAsia="仿宋_GB2312" w:cs="仿宋_GB2312"/>
          <w:sz w:val="32"/>
          <w:szCs w:val="32"/>
          <w:highlight w:val="yellow"/>
          <w:lang w:val="en-US" w:eastAsia="zh-CN"/>
        </w:rPr>
      </w:pPr>
      <w:r>
        <w:rPr>
          <w:rFonts w:hint="eastAsia" w:ascii="仿宋_GB2312" w:hAnsi="仿宋_GB2312" w:eastAsia="仿宋_GB2312" w:cs="仿宋_GB2312"/>
          <w:sz w:val="32"/>
          <w:szCs w:val="32"/>
          <w:lang w:val="en-US" w:eastAsia="zh-CN"/>
        </w:rPr>
        <w:t>本次制定的收费标准执行范围为阳山县公共智慧体系配套建设项目一期建设的</w:t>
      </w:r>
      <w:r>
        <w:rPr>
          <w:rFonts w:hint="eastAsia" w:ascii="仿宋_GB2312" w:hAnsi="仿宋_GB2312" w:eastAsia="仿宋_GB2312" w:cs="仿宋_GB2312"/>
          <w:b w:val="0"/>
          <w:bCs w:val="0"/>
          <w:sz w:val="32"/>
          <w:szCs w:val="32"/>
          <w:lang w:eastAsia="zh-CN"/>
        </w:rPr>
        <w:t>阳山县县城市政道路智慧停车泊位机动车停放</w:t>
      </w:r>
      <w:r>
        <w:rPr>
          <w:rFonts w:hint="eastAsia" w:ascii="仿宋_GB2312" w:hAnsi="仿宋_GB2312" w:eastAsia="仿宋_GB2312" w:cs="仿宋_GB2312"/>
          <w:sz w:val="32"/>
          <w:szCs w:val="32"/>
          <w:lang w:val="en-US" w:eastAsia="zh-CN"/>
        </w:rPr>
        <w:t>服务。阳山县公共智慧体系配套建设项目后续建设的阳山县市政道路智慧</w:t>
      </w:r>
      <w:r>
        <w:rPr>
          <w:rFonts w:hint="eastAsia" w:ascii="仿宋_GB2312" w:hAnsi="仿宋_GB2312" w:eastAsia="仿宋_GB2312" w:cs="仿宋_GB2312"/>
          <w:b w:val="0"/>
          <w:bCs w:val="0"/>
          <w:sz w:val="32"/>
          <w:szCs w:val="32"/>
          <w:lang w:eastAsia="zh-CN"/>
        </w:rPr>
        <w:t>停车泊位机动车停放</w:t>
      </w:r>
      <w:r>
        <w:rPr>
          <w:rFonts w:hint="eastAsia" w:ascii="仿宋_GB2312" w:hAnsi="仿宋_GB2312" w:eastAsia="仿宋_GB2312" w:cs="仿宋_GB2312"/>
          <w:sz w:val="32"/>
          <w:szCs w:val="32"/>
          <w:lang w:val="en-US" w:eastAsia="zh-CN"/>
        </w:rPr>
        <w:t>服务，可参照二类路段收费标准执行。</w:t>
      </w:r>
    </w:p>
    <w:p>
      <w:pPr>
        <w:keepNext w:val="0"/>
        <w:keepLines w:val="0"/>
        <w:pageBreakBefore w:val="0"/>
        <w:widowControl w:val="0"/>
        <w:kinsoku/>
        <w:wordWrap/>
        <w:overflowPunct/>
        <w:topLinePunct w:val="0"/>
        <w:autoSpaceDE/>
        <w:autoSpaceDN/>
        <w:bidi w:val="0"/>
        <w:adjustRightInd/>
        <w:snapToGrid/>
        <w:spacing w:line="560" w:lineRule="exact"/>
        <w:ind w:firstLine="632"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本次制定的收费标准自2025年 月 日起实施，有效期五年，</w:t>
      </w:r>
      <w:r>
        <w:rPr>
          <w:rFonts w:hint="eastAsia" w:ascii="仿宋_GB2312" w:hAnsi="仿宋_GB2312" w:eastAsia="仿宋_GB2312" w:cs="仿宋_GB2312"/>
          <w:b w:val="0"/>
          <w:i w:val="0"/>
          <w:snapToGrid/>
          <w:color w:val="000000"/>
          <w:sz w:val="32"/>
          <w:szCs w:val="32"/>
          <w:shd w:val="clear" w:color="auto" w:fill="FFFFFF"/>
          <w:lang w:eastAsia="zh-CN"/>
        </w:rPr>
        <w:t>本方案</w:t>
      </w:r>
      <w:r>
        <w:rPr>
          <w:rFonts w:hint="eastAsia" w:ascii="仿宋_GB2312" w:hAnsi="仿宋_GB2312" w:eastAsia="仿宋_GB2312" w:cs="仿宋_GB2312"/>
          <w:b w:val="0"/>
          <w:i w:val="0"/>
          <w:snapToGrid/>
          <w:color w:val="000000"/>
          <w:sz w:val="32"/>
          <w:szCs w:val="32"/>
          <w:shd w:val="clear" w:color="auto" w:fill="FFFFFF"/>
          <w:lang w:val="en-US" w:eastAsia="zh-CN"/>
        </w:rPr>
        <w:t>执</w:t>
      </w:r>
      <w:r>
        <w:rPr>
          <w:rFonts w:hint="eastAsia" w:ascii="仿宋_GB2312" w:hAnsi="仿宋_GB2312" w:eastAsia="仿宋_GB2312" w:cs="仿宋_GB2312"/>
          <w:b w:val="0"/>
          <w:i w:val="0"/>
          <w:snapToGrid/>
          <w:color w:val="000000"/>
          <w:sz w:val="32"/>
          <w:szCs w:val="32"/>
          <w:shd w:val="clear" w:color="auto" w:fill="FFFFFF"/>
          <w:lang w:eastAsia="zh-CN"/>
        </w:rPr>
        <w:t>行期间，</w:t>
      </w:r>
      <w:r>
        <w:rPr>
          <w:rFonts w:hint="eastAsia" w:ascii="仿宋_GB2312" w:hAnsi="仿宋_GB2312" w:eastAsia="仿宋_GB2312" w:cs="仿宋_GB2312"/>
          <w:i w:val="0"/>
          <w:caps w:val="0"/>
          <w:color w:val="auto"/>
          <w:spacing w:val="0"/>
          <w:kern w:val="0"/>
          <w:sz w:val="32"/>
          <w:szCs w:val="32"/>
          <w:shd w:val="clear" w:color="080000" w:fill="FFFFFF"/>
          <w:lang w:val="en-US" w:eastAsia="zh-CN"/>
        </w:rPr>
        <w:t>如国家、省市有新的政策规定则按新规定执行。</w:t>
      </w:r>
    </w:p>
    <w:p>
      <w:pPr>
        <w:pStyle w:val="2"/>
        <w:keepNext w:val="0"/>
        <w:keepLines w:val="0"/>
        <w:pageBreakBefore w:val="0"/>
        <w:widowControl w:val="0"/>
        <w:kinsoku/>
        <w:wordWrap/>
        <w:overflowPunct/>
        <w:topLinePunct w:val="0"/>
        <w:autoSpaceDE/>
        <w:autoSpaceDN/>
        <w:bidi w:val="0"/>
        <w:adjustRightInd/>
        <w:snapToGrid/>
        <w:spacing w:line="560" w:lineRule="exact"/>
        <w:ind w:firstLine="640"/>
        <w:textAlignment w:val="auto"/>
        <w:rPr>
          <w:rFonts w:hint="eastAsia" w:ascii="仿宋_GB2312" w:hAnsi="仿宋_GB2312" w:eastAsia="仿宋_GB2312" w:cs="仿宋_GB2312"/>
          <w:sz w:val="32"/>
          <w:szCs w:val="32"/>
          <w:lang w:val="en-US" w:eastAsia="zh-CN"/>
        </w:rPr>
      </w:pPr>
    </w:p>
    <w:p>
      <w:pPr>
        <w:pStyle w:val="2"/>
        <w:keepNext w:val="0"/>
        <w:keepLines w:val="0"/>
        <w:pageBreakBefore w:val="0"/>
        <w:widowControl w:val="0"/>
        <w:kinsoku/>
        <w:wordWrap/>
        <w:overflowPunct/>
        <w:topLinePunct w:val="0"/>
        <w:autoSpaceDE/>
        <w:autoSpaceDN/>
        <w:bidi w:val="0"/>
        <w:adjustRightInd/>
        <w:snapToGrid/>
        <w:spacing w:line="560" w:lineRule="exact"/>
        <w:ind w:left="1574" w:leftChars="304" w:hanging="948" w:hangingChars="300"/>
        <w:textAlignment w:val="auto"/>
        <w:rPr>
          <w:rFonts w:hint="eastAsia" w:ascii="宋体" w:hAnsi="宋体" w:eastAsia="宋体" w:cs="宋体"/>
          <w:b w:val="0"/>
          <w:bCs w:val="0"/>
          <w:sz w:val="44"/>
          <w:szCs w:val="44"/>
          <w:lang w:eastAsia="zh-CN"/>
        </w:rPr>
      </w:pPr>
      <w:r>
        <w:rPr>
          <w:rFonts w:hint="eastAsia" w:ascii="仿宋_GB2312" w:hAnsi="仿宋_GB2312" w:eastAsia="仿宋_GB2312" w:cs="仿宋_GB2312"/>
          <w:sz w:val="32"/>
          <w:szCs w:val="32"/>
          <w:lang w:val="en-US" w:eastAsia="zh-CN"/>
        </w:rPr>
        <w:t>附件:</w:t>
      </w:r>
      <w:r>
        <w:rPr>
          <w:rFonts w:hint="eastAsia" w:ascii="仿宋_GB2312" w:hAnsi="仿宋_GB2312" w:eastAsia="仿宋_GB2312" w:cs="仿宋_GB2312"/>
          <w:b w:val="0"/>
          <w:bCs w:val="0"/>
          <w:sz w:val="32"/>
          <w:szCs w:val="32"/>
          <w:lang w:eastAsia="zh-CN"/>
        </w:rPr>
        <w:t>机动车停放服务定价成本核定表</w:t>
      </w:r>
    </w:p>
    <w:sectPr>
      <w:pgSz w:w="11906" w:h="16838"/>
      <w:pgMar w:top="2098" w:right="1474" w:bottom="1984" w:left="1587" w:header="851" w:footer="992" w:gutter="0"/>
      <w:cols w:space="0" w:num="1"/>
      <w:rtlGutter w:val="0"/>
      <w:docGrid w:type="linesAndChars" w:linePitch="289" w:charSpace="-88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HorizontalSpacing w:val="103"/>
  <w:drawingGridVerticalSpacing w:val="144"/>
  <w:displayHorizontalDrawingGridEvery w:val="2"/>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B2109F9"/>
    <w:rsid w:val="033D7E04"/>
    <w:rsid w:val="2A222EDE"/>
    <w:rsid w:val="3DAE0CAC"/>
    <w:rsid w:val="4EBA18AF"/>
    <w:rsid w:val="578A5E82"/>
    <w:rsid w:val="6B2109F9"/>
    <w:rsid w:val="71866EB7"/>
    <w:rsid w:val="725E4E77"/>
    <w:rsid w:val="78581447"/>
    <w:rsid w:val="7F1053B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pPr>
      <w:spacing w:after="120"/>
    </w:pPr>
  </w:style>
  <w:style w:type="table" w:styleId="4">
    <w:name w:val="Table Grid"/>
    <w:basedOn w:val="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6">
    <w:name w:val="Strong"/>
    <w:basedOn w:val="5"/>
    <w:qFormat/>
    <w:uiPriority w:val="0"/>
    <w:rPr>
      <w:b/>
    </w:rPr>
  </w:style>
  <w:style w:type="paragraph" w:customStyle="1" w:styleId="7">
    <w:name w:val="Normal (Web)"/>
    <w:basedOn w:val="1"/>
    <w:qFormat/>
    <w:uiPriority w:val="0"/>
    <w:pPr>
      <w:spacing w:before="0" w:beforeLines="0" w:beforeAutospacing="0" w:after="0" w:afterLines="0" w:afterAutospacing="0"/>
      <w:ind w:left="0" w:right="0"/>
      <w:jc w:val="left"/>
    </w:pPr>
    <w:rPr>
      <w:kern w:val="0"/>
      <w:sz w:val="24"/>
      <w:lang w:val="en-US" w:eastAsia="zh-CN"/>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14</TotalTime>
  <ScaleCrop>false</ScaleCrop>
  <LinksUpToDate>false</LinksUpToDate>
  <CharactersWithSpaces>0</CharactersWithSpaces>
  <Application>WPS Office_11.8.2.11473_F1E327BC-269C-435d-A152-05C5408002CA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2024-11-13T08:18:00Z</dcterms:created>
  <dc:creator>Administrator</dc:creator>
  <cp:lastModifiedBy>陈剑宇</cp:lastModifiedBy>
  <dcterms:modified xsi:type="dcterms:W3CDTF">2024-12-26T00:48:31Z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2052-11.8.2.11473</vt:lpwstr>
  </property>
  <property fmtid="{D5CDD505-2E9C-101B-9397-08002B2CF9AE}" pid="3" name="ICV">
    <vt:lpwstr>B1E297B126264A9BB2779172E1FD2AB1</vt:lpwstr>
  </property>
</Properties>
</file>