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895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83"/>
        <w:gridCol w:w="1490"/>
        <w:gridCol w:w="58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8953" w:type="dxa"/>
            <w:gridSpan w:val="3"/>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2"/>
                <w:szCs w:val="32"/>
                <w:u w:val="none"/>
              </w:rPr>
            </w:pPr>
            <w:r>
              <w:rPr>
                <w:rFonts w:hint="default" w:ascii="方正小标宋简体" w:hAnsi="方正小标宋简体" w:eastAsia="方正小标宋简体" w:cs="方正小标宋简体"/>
                <w:i w:val="0"/>
                <w:iCs w:val="0"/>
                <w:color w:val="000000"/>
                <w:kern w:val="0"/>
                <w:sz w:val="32"/>
                <w:szCs w:val="32"/>
                <w:u w:val="none"/>
                <w:lang w:val="en-US" w:eastAsia="zh-CN" w:bidi="ar"/>
              </w:rPr>
              <w:t>机动车停</w:t>
            </w:r>
            <w:r>
              <w:rPr>
                <w:rFonts w:hint="eastAsia" w:ascii="方正小标宋简体" w:hAnsi="方正小标宋简体" w:eastAsia="方正小标宋简体" w:cs="方正小标宋简体"/>
                <w:i w:val="0"/>
                <w:iCs w:val="0"/>
                <w:color w:val="000000"/>
                <w:kern w:val="0"/>
                <w:sz w:val="32"/>
                <w:szCs w:val="32"/>
                <w:u w:val="none"/>
                <w:lang w:val="en-US" w:eastAsia="zh-CN" w:bidi="ar"/>
              </w:rPr>
              <w:t>放</w:t>
            </w:r>
            <w:r>
              <w:rPr>
                <w:rFonts w:hint="default" w:ascii="方正小标宋简体" w:hAnsi="方正小标宋简体" w:eastAsia="方正小标宋简体" w:cs="方正小标宋简体"/>
                <w:i w:val="0"/>
                <w:iCs w:val="0"/>
                <w:color w:val="000000"/>
                <w:kern w:val="0"/>
                <w:sz w:val="32"/>
                <w:szCs w:val="32"/>
                <w:u w:val="none"/>
                <w:lang w:val="en-US" w:eastAsia="zh-CN" w:bidi="ar"/>
              </w:rPr>
              <w:t>服务定价成本核定表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1583" w:type="dxa"/>
            <w:tcBorders>
              <w:top w:val="nil"/>
              <w:left w:val="nil"/>
              <w:bottom w:val="nil"/>
              <w:right w:val="nil"/>
            </w:tcBorders>
            <w:shd w:val="clear" w:color="auto" w:fill="auto"/>
            <w:noWrap/>
            <w:vAlign w:val="center"/>
          </w:tcPr>
          <w:p>
            <w:pPr>
              <w:jc w:val="center"/>
              <w:rPr>
                <w:rFonts w:hint="default" w:ascii="方正小标宋简体" w:hAnsi="方正小标宋简体" w:eastAsia="方正小标宋简体" w:cs="方正小标宋简体"/>
                <w:i w:val="0"/>
                <w:iCs w:val="0"/>
                <w:color w:val="000000"/>
                <w:sz w:val="32"/>
                <w:szCs w:val="32"/>
                <w:u w:val="none"/>
              </w:rPr>
            </w:pPr>
          </w:p>
        </w:tc>
        <w:tc>
          <w:tcPr>
            <w:tcW w:w="1490" w:type="dxa"/>
            <w:tcBorders>
              <w:top w:val="nil"/>
              <w:left w:val="nil"/>
              <w:bottom w:val="nil"/>
              <w:right w:val="nil"/>
            </w:tcBorders>
            <w:shd w:val="clear" w:color="auto" w:fill="auto"/>
            <w:noWrap/>
            <w:vAlign w:val="center"/>
          </w:tcPr>
          <w:p>
            <w:pPr>
              <w:jc w:val="center"/>
              <w:rPr>
                <w:rFonts w:hint="default" w:ascii="方正小标宋简体" w:hAnsi="方正小标宋简体" w:eastAsia="方正小标宋简体" w:cs="方正小标宋简体"/>
                <w:i w:val="0"/>
                <w:iCs w:val="0"/>
                <w:color w:val="000000"/>
                <w:sz w:val="32"/>
                <w:szCs w:val="32"/>
                <w:u w:val="none"/>
              </w:rPr>
            </w:pPr>
          </w:p>
        </w:tc>
        <w:tc>
          <w:tcPr>
            <w:tcW w:w="5880"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default" w:ascii="方正小标宋简体" w:hAnsi="方正小标宋简体" w:eastAsia="方正小标宋简体" w:cs="方正小标宋简体"/>
                <w:i w:val="0"/>
                <w:iCs w:val="0"/>
                <w:color w:val="000000"/>
                <w:sz w:val="20"/>
                <w:szCs w:val="20"/>
                <w:u w:val="none"/>
              </w:rPr>
            </w:pPr>
            <w:r>
              <w:rPr>
                <w:rFonts w:hint="eastAsia" w:ascii="方正小标宋简体" w:hAnsi="方正小标宋简体" w:eastAsia="方正小标宋简体" w:cs="方正小标宋简体"/>
                <w:i w:val="0"/>
                <w:iCs w:val="0"/>
                <w:color w:val="000000"/>
                <w:kern w:val="0"/>
                <w:sz w:val="20"/>
                <w:szCs w:val="20"/>
                <w:u w:val="none"/>
                <w:lang w:val="en-US" w:eastAsia="zh-CN" w:bidi="ar"/>
              </w:rPr>
              <w:t>金额</w:t>
            </w:r>
            <w:r>
              <w:rPr>
                <w:rFonts w:hint="default" w:ascii="方正小标宋简体" w:hAnsi="方正小标宋简体" w:eastAsia="方正小标宋简体" w:cs="方正小标宋简体"/>
                <w:i w:val="0"/>
                <w:iCs w:val="0"/>
                <w:color w:val="000000"/>
                <w:kern w:val="0"/>
                <w:sz w:val="20"/>
                <w:szCs w:val="20"/>
                <w:u w:val="none"/>
                <w:lang w:val="en-US" w:eastAsia="zh-CN" w:bidi="ar"/>
              </w:rPr>
              <w:t>单位：元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    目</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 xml:space="preserve"> 审核测算数 </w:t>
            </w:r>
          </w:p>
        </w:tc>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1" w:hRule="atLeast"/>
        </w:trPr>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一、机动车停车服务总成本</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9,814,298.42 </w:t>
            </w:r>
          </w:p>
        </w:tc>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本次定价运营成本测算按规划至2025年县城建设路内停车泊位3619个，根据《阳山县公共智慧体系配套建设项目具体实施方案》测算运营期前三年平均数。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1" w:hRule="atLeast"/>
        </w:trPr>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（一）职工薪酬</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2,262,703.88 </w:t>
            </w:r>
          </w:p>
        </w:tc>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次定价运营成本测算按规划至2025年县城建设路内停车泊位3619个，根据《阳山县公共智慧体系配套建设项目具体实施方案》，测算配置运营人员约34人，其中管理人员5人、巡逻人员20人、维修人员3人、客服人员6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其中：职工工资</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1,587,772.40 </w:t>
            </w:r>
          </w:p>
        </w:tc>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按不超过统计部门公布的当地城镇在岗职工平均工资核定34人工资。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职工福利费</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222,288.14 </w:t>
            </w:r>
          </w:p>
        </w:tc>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按不超过工资的14%测算。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社会保险费</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373,254.72 </w:t>
            </w:r>
          </w:p>
        </w:tc>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按最低工资基数标准4190元测算社会保险费，测算出单位承担部分914.84元/人/月。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住房公积金</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79,388.62 </w:t>
            </w:r>
          </w:p>
        </w:tc>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以工资额为基数，按最低缴存比例5%测算。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（二）固定资产折旧</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1,452,256.94 </w:t>
            </w:r>
          </w:p>
        </w:tc>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本次定价运营成本测算按规划至2025年县城建设路内停车泊位3619个，根据《阳山县公共智慧体系配套建设项目具体实施方案》，系统建设工程按18年，设备系统按10年进行分摊，留残值4%。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（三）修理维护费</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   </w:t>
            </w:r>
          </w:p>
        </w:tc>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根据《阳山县公共智慧体系配套建设项目具体实施方案》运营期前三年平均数据：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主要设备更换、日常设备维护和基础设施维护：按固定资产原值的2%计算，自运营期第6年开始考虑修理维护，故测算期内无该项费用。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（四）水电费</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168,331.54 </w:t>
            </w:r>
          </w:p>
        </w:tc>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据《阳山县公共智慧体系配套建设项目具体实施方案》：所需能源主要是电，主要为智能停车设备的耗电成本，项目用电负荷参照同类项目，本次测算3619个车位，按服务1个车位每天用电约0.18kWh，3619个车位新增年用电量23.78万kWh，电费按0.8元/kWh 计算，测算每年的用电成本为190,214.64元（含税），扣除13%进项税后测算的不含税用电成本为168,331.54元。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（五）无形资产摊销</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3,412,166.67 </w:t>
            </w:r>
          </w:p>
        </w:tc>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次定价运营成本测算按规划至2025年县城建设路内停车泊位3619个，根据《阳山县公共智慧体系配套建设项目具体实施方案》和阳山县农丰农业发展有限公司与阳山县城市管理和综合执法局签订的《阳山县（含乡镇）市政道路路内停车泊位公共资源使用权》显示，使用期限为20年，按18年运营期摊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20" w:hRule="atLeast"/>
        </w:trPr>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（六）财务费用</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2,037,713.06 </w:t>
            </w:r>
          </w:p>
        </w:tc>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次定价运营成本测算按规划至2025年县城建设路内停车泊位3619个共计需偿还贷款总额为66,000,000.00元，按此基础计算本项目运营期前三年分别贷款本金为第一年66,600,000.00元、第二年63,330,517.13元、第三年60,564,932.87元，贷款总额为项目投资总额的78.28%；借款利率根据中国人民银行2024年10月21日全国银行间同业拆借中心受权公布贷款市场报价利率（LPR）公告反映的5年期以上贷款市场报价利率为3.60%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参照《监审办法》，贷款总额超过投资总额70%的，按投资总额的70%测算贷款利息总额。项目贷款总额为投资总额的78.28%，按投资总额的70%计算贷款利息，并按经营期18年分摊利息费用。测算的利息费用以运营期前三年利息费用平均数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（七）其他费用</w:t>
            </w:r>
          </w:p>
        </w:tc>
        <w:tc>
          <w:tcPr>
            <w:tcW w:w="14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481,126.34 </w:t>
            </w:r>
          </w:p>
        </w:tc>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预测数，根据《阳山县公共智慧体系配套建设项目具体实施方案》运营期前三年平均数据：</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其他直接费用包含巡检车辆及油费、前端感知设备传输网络租赁、设备租赁费、机动车保险费等，按营业收入的3%测算。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其他管理费用包括办公费、经营场地租赁费等，按营业收入的2%测算。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0" w:hRule="atLeast"/>
        </w:trPr>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二、机动车有效停放量（小时）</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36769.04</w:t>
            </w:r>
          </w:p>
        </w:tc>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本次定价运营成本测算根据规划至2025年县城建设路内停车泊位3619个，根据《阳山县公共智慧体系配套建设项目具体实施方案》运营期第一年数据测算：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按停车位*平均车位使用率*平均周转率*平均停车时长计算。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车位使用率根据《阳山县公共智慧体系配套建设项目具体实施方案》运营期第一年的车位使用率测算。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三、机动车停放服务单位成本（元/小时）</w:t>
            </w:r>
          </w:p>
        </w:tc>
        <w:tc>
          <w:tcPr>
            <w:tcW w:w="14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0.73 </w:t>
            </w:r>
          </w:p>
        </w:tc>
        <w:tc>
          <w:tcPr>
            <w:tcW w:w="58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每年按365天计算，按年计算的</w:t>
            </w:r>
            <w:r>
              <w:rPr>
                <w:rFonts w:hint="eastAsia" w:ascii="宋体" w:hAnsi="宋体" w:eastAsia="宋体" w:cs="宋体"/>
                <w:i w:val="0"/>
                <w:iCs w:val="0"/>
                <w:color w:val="000000"/>
                <w:kern w:val="0"/>
                <w:sz w:val="18"/>
                <w:szCs w:val="18"/>
                <w:u w:val="none"/>
                <w:lang w:val="en-US" w:eastAsia="zh-CN" w:bidi="ar"/>
              </w:rPr>
              <w:t>机动车有效停放量为</w:t>
            </w:r>
            <w:r>
              <w:rPr>
                <w:rFonts w:hint="eastAsia" w:ascii="宋体" w:hAnsi="宋体" w:eastAsia="宋体" w:cs="宋体"/>
                <w:sz w:val="18"/>
                <w:szCs w:val="18"/>
                <w:lang w:val="en-US" w:eastAsia="zh-CN"/>
              </w:rPr>
              <w:t>13</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eastAsia="宋体" w:cs="宋体"/>
                <w:sz w:val="18"/>
                <w:szCs w:val="18"/>
                <w:lang w:val="en-US" w:eastAsia="zh-CN"/>
              </w:rPr>
              <w:t>420</w:t>
            </w:r>
            <w:r>
              <w:rPr>
                <w:rFonts w:hint="eastAsia" w:ascii="宋体" w:hAnsi="宋体" w:eastAsia="宋体" w:cs="宋体"/>
                <w:i w:val="0"/>
                <w:iCs w:val="0"/>
                <w:color w:val="000000"/>
                <w:kern w:val="0"/>
                <w:sz w:val="18"/>
                <w:szCs w:val="18"/>
                <w:u w:val="none"/>
                <w:lang w:val="en-US" w:eastAsia="zh-CN" w:bidi="ar"/>
              </w:rPr>
              <w:t>,</w:t>
            </w:r>
            <w:r>
              <w:rPr>
                <w:rFonts w:hint="eastAsia" w:ascii="宋体" w:hAnsi="宋体" w:eastAsia="宋体" w:cs="宋体"/>
                <w:sz w:val="18"/>
                <w:szCs w:val="18"/>
                <w:lang w:val="en-US" w:eastAsia="zh-CN"/>
              </w:rPr>
              <w:t>699.60小时。</w:t>
            </w:r>
          </w:p>
        </w:tc>
      </w:tr>
    </w:tbl>
    <w:p>
      <w:pPr>
        <w:keepNext w:val="0"/>
        <w:keepLines w:val="0"/>
        <w:pageBreakBefore w:val="0"/>
        <w:kinsoku/>
        <w:wordWrap/>
        <w:overflowPunct/>
        <w:topLinePunct w:val="0"/>
        <w:autoSpaceDE/>
        <w:autoSpaceDN/>
        <w:bidi w:val="0"/>
        <w:adjustRightInd/>
        <w:snapToGrid/>
        <w:spacing w:line="400" w:lineRule="exact"/>
      </w:pPr>
      <w:bookmarkStart w:id="0" w:name="_GoBack"/>
      <w:bookmarkEnd w:id="0"/>
    </w:p>
    <w:sectPr>
      <w:pgSz w:w="11906" w:h="16838"/>
      <w:pgMar w:top="2098" w:right="1474" w:bottom="1984" w:left="1587" w:header="851" w:footer="992" w:gutter="0"/>
      <w:paperSrc/>
      <w:cols w:space="0" w:num="1"/>
      <w:rtlGutter w:val="0"/>
      <w:docGrid w:type="linesAndChars" w:linePitch="289" w:charSpace="-88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3"/>
  <w:drawingGridVerticalSpacing w:val="144"/>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3123F3"/>
    <w:rsid w:val="3CBE7473"/>
    <w:rsid w:val="3D3123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2024-12-06T02:49:00Z</dcterms:created>
  <dc:creator>Administrator</dc:creator>
  <cp:lastModifiedBy>陈剑宇</cp:lastModifiedBy>
  <dcterms:modified xsi:type="dcterms:W3CDTF">2024-12-26T02:41:02Z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D2573FDD39E046F49C81395A469550DC</vt:lpwstr>
  </property>
</Properties>
</file>