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0" w:lineRule="exact"/>
        <w:jc w:val="distribute"/>
        <w:rPr>
          <w:rFonts w:hint="eastAsia" w:ascii="方正大标宋简体" w:hAnsi="方正大标宋简体" w:eastAsia="方正大标宋简体"/>
          <w:bCs/>
          <w:color w:val="FF0000"/>
          <w:spacing w:val="-57"/>
          <w:w w:val="80"/>
          <w:position w:val="10"/>
          <w:sz w:val="90"/>
          <w:szCs w:val="90"/>
          <w:lang w:eastAsia="zh-CN"/>
        </w:rPr>
      </w:pPr>
      <w:r>
        <w:rPr>
          <w:rFonts w:hint="eastAsia" w:ascii="方正大标宋简体" w:hAnsi="方正大标宋简体" w:eastAsia="方正大标宋简体"/>
          <w:bCs/>
          <w:color w:val="FF0000"/>
          <w:spacing w:val="-57"/>
          <w:w w:val="80"/>
          <w:position w:val="10"/>
          <w:sz w:val="90"/>
          <w:szCs w:val="90"/>
        </w:rPr>
        <w:t>阳山县</w:t>
      </w:r>
      <w:r>
        <w:rPr>
          <w:rFonts w:hint="eastAsia" w:ascii="方正大标宋简体" w:hAnsi="方正大标宋简体" w:eastAsia="方正大标宋简体"/>
          <w:bCs/>
          <w:color w:val="FF0000"/>
          <w:spacing w:val="-57"/>
          <w:w w:val="80"/>
          <w:position w:val="10"/>
          <w:sz w:val="90"/>
          <w:szCs w:val="90"/>
          <w:lang w:eastAsia="zh-CN"/>
        </w:rPr>
        <w:t>城市管理和综合执法局</w:t>
      </w:r>
    </w:p>
    <w:p>
      <w:pPr>
        <w:keepNext w:val="0"/>
        <w:keepLines w:val="0"/>
        <w:pageBreakBefore w:val="0"/>
        <w:widowControl w:val="0"/>
        <w:kinsoku/>
        <w:wordWrap/>
        <w:overflowPunct/>
        <w:topLinePunct w:val="0"/>
        <w:autoSpaceDE/>
        <w:autoSpaceDN/>
        <w:bidi w:val="0"/>
        <w:adjustRightInd/>
        <w:snapToGrid/>
        <w:spacing w:before="0" w:beforeLines="0" w:after="0" w:afterLines="0" w:line="700" w:lineRule="exact"/>
        <w:ind w:left="0" w:leftChars="0" w:right="0" w:rightChars="0" w:firstLine="0" w:firstLineChars="0"/>
        <w:jc w:val="center"/>
        <w:textAlignment w:val="auto"/>
        <w:outlineLvl w:val="9"/>
        <w:rPr>
          <w:rFonts w:hint="eastAsia" w:ascii="方正小标宋简体" w:hAnsi="方正小标宋简体" w:eastAsia="方正小标宋简体"/>
          <w:w w:val="90"/>
          <w:sz w:val="44"/>
          <w:szCs w:val="32"/>
        </w:rPr>
      </w:pPr>
      <w:r>
        <w:rPr>
          <w:rFonts w:hint="eastAsia" w:ascii="方正小标宋简体" w:hAnsi="方正小标宋简体" w:eastAsia="方正小标宋简体"/>
          <w:w w:val="90"/>
          <w:sz w:val="44"/>
          <w:szCs w:val="32"/>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19050</wp:posOffset>
                </wp:positionV>
                <wp:extent cx="5759450" cy="635"/>
                <wp:effectExtent l="0" t="19050" r="1270" b="26035"/>
                <wp:wrapNone/>
                <wp:docPr id="1" name="直接连接符 1"/>
                <wp:cNvGraphicFramePr/>
                <a:graphic xmlns:a="http://schemas.openxmlformats.org/drawingml/2006/main">
                  <a:graphicData uri="http://schemas.microsoft.com/office/word/2010/wordprocessingShape">
                    <wps:wsp>
                      <wps:cNvCnPr/>
                      <wps:spPr>
                        <a:xfrm>
                          <a:off x="0" y="0"/>
                          <a:ext cx="5759450" cy="635"/>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1.5pt;height:0.05pt;width:453.5pt;z-index:251660288;mso-width-relative:page;mso-height-relative:page;" filled="f" stroked="t" coordsize="21600,21600" o:gfxdata="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90mno2AAAAAcBAAAPAAAAAAAAAAEAIAAAACIAAABkcnMvZG93bnJldi54bWxQ&#10;SwECFAAUAAAACACHTuJAIIYMO/cBAADnAwAADgAAAAAAAAABACAAAAAnAQAAZHJzL2Uyb0RvYy54&#10;bWxQSwUGAAAAAAYABgBZAQAAkAUAAAAA&#10;">
                <v:fill on="f" focussize="0,0"/>
                <v:stroke weight="3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行政处罚听证告知书</w:t>
      </w:r>
    </w:p>
    <w:p>
      <w:pPr>
        <w:keepNext w:val="0"/>
        <w:keepLines w:val="0"/>
        <w:pageBreakBefore w:val="0"/>
        <w:kinsoku/>
        <w:overflowPunct/>
        <w:topLinePunct w:val="0"/>
        <w:autoSpaceDE/>
        <w:autoSpaceDN/>
        <w:bidi w:val="0"/>
        <w:adjustRightInd/>
        <w:spacing w:line="600" w:lineRule="exact"/>
        <w:jc w:val="center"/>
        <w:textAlignment w:val="auto"/>
        <w:outlineLvl w:val="9"/>
        <w:rPr>
          <w:rFonts w:hint="eastAsia" w:ascii="楷体_GB2312" w:hAnsi="楷体_GB2312" w:eastAsia="楷体_GB2312" w:cs="楷体_GB2312"/>
          <w:sz w:val="32"/>
          <w:szCs w:val="32"/>
          <w:highlight w:val="none"/>
          <w:u w:val="none"/>
        </w:rPr>
      </w:pPr>
      <w:r>
        <w:rPr>
          <w:rFonts w:hint="eastAsia" w:ascii="楷体_GB2312" w:hAnsi="楷体_GB2312" w:eastAsia="楷体_GB2312" w:cs="楷体_GB2312"/>
          <w:sz w:val="32"/>
          <w:szCs w:val="32"/>
          <w:highlight w:val="none"/>
          <w:u w:val="none"/>
        </w:rPr>
        <w:t>阳城管罚</w:t>
      </w:r>
      <w:r>
        <w:rPr>
          <w:rFonts w:hint="eastAsia" w:ascii="楷体_GB2312" w:hAnsi="楷体_GB2312" w:eastAsia="楷体_GB2312" w:cs="楷体_GB2312"/>
          <w:sz w:val="32"/>
          <w:szCs w:val="32"/>
          <w:highlight w:val="none"/>
          <w:u w:val="none"/>
          <w:lang w:eastAsia="zh-CN"/>
        </w:rPr>
        <w:t>告</w:t>
      </w:r>
      <w:r>
        <w:rPr>
          <w:rFonts w:hint="eastAsia" w:ascii="楷体_GB2312" w:hAnsi="楷体_GB2312" w:eastAsia="楷体_GB2312" w:cs="楷体_GB2312"/>
          <w:sz w:val="32"/>
          <w:szCs w:val="32"/>
          <w:highlight w:val="none"/>
          <w:u w:val="none"/>
        </w:rPr>
        <w:t>字〔202</w:t>
      </w:r>
      <w:r>
        <w:rPr>
          <w:rFonts w:hint="eastAsia" w:ascii="楷体_GB2312" w:hAnsi="楷体_GB2312" w:eastAsia="楷体_GB2312" w:cs="楷体_GB2312"/>
          <w:sz w:val="32"/>
          <w:szCs w:val="32"/>
          <w:highlight w:val="none"/>
          <w:u w:val="none"/>
          <w:lang w:val="en-US" w:eastAsia="zh-CN"/>
        </w:rPr>
        <w:t>4</w:t>
      </w:r>
      <w:r>
        <w:rPr>
          <w:rFonts w:hint="eastAsia" w:ascii="楷体_GB2312" w:hAnsi="楷体_GB2312" w:eastAsia="楷体_GB2312" w:cs="楷体_GB2312"/>
          <w:sz w:val="32"/>
          <w:szCs w:val="32"/>
          <w:highlight w:val="none"/>
          <w:u w:val="none"/>
        </w:rPr>
        <w:t>〕</w:t>
      </w:r>
      <w:r>
        <w:rPr>
          <w:rFonts w:hint="eastAsia" w:ascii="楷体_GB2312" w:hAnsi="楷体_GB2312" w:eastAsia="楷体_GB2312" w:cs="楷体_GB2312"/>
          <w:sz w:val="32"/>
          <w:szCs w:val="32"/>
          <w:highlight w:val="none"/>
          <w:u w:val="none"/>
          <w:lang w:val="en-US" w:eastAsia="zh-CN"/>
        </w:rPr>
        <w:t>1</w:t>
      </w:r>
      <w:r>
        <w:rPr>
          <w:rFonts w:hint="eastAsia" w:ascii="楷体_GB2312" w:hAnsi="楷体_GB2312" w:eastAsia="楷体_GB2312" w:cs="楷体_GB2312"/>
          <w:sz w:val="32"/>
          <w:szCs w:val="32"/>
          <w:highlight w:val="none"/>
          <w:u w:val="none"/>
        </w:rPr>
        <w:t>号</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企业名称：阳山县洋宝房地产开发有限公司</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outlineLvl w:val="9"/>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eastAsia="zh-CN"/>
        </w:rPr>
        <w:t>统一社会信用代码：</w:t>
      </w:r>
      <w:r>
        <w:rPr>
          <w:rFonts w:hint="eastAsia" w:ascii="仿宋_GB2312" w:hAnsi="仿宋_GB2312" w:eastAsia="仿宋_GB2312" w:cs="仿宋_GB2312"/>
          <w:sz w:val="32"/>
          <w:szCs w:val="32"/>
          <w:highlight w:val="none"/>
          <w:u w:val="none"/>
          <w:lang w:val="en-US" w:eastAsia="zh-CN"/>
        </w:rPr>
        <w:t>91441823******229U</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法定代表人</w:t>
      </w:r>
      <w:r>
        <w:rPr>
          <w:rFonts w:hint="eastAsia" w:ascii="仿宋_GB2312" w:hAnsi="仿宋_GB2312" w:eastAsia="仿宋_GB2312" w:cs="仿宋_GB2312"/>
          <w:sz w:val="32"/>
          <w:szCs w:val="32"/>
          <w:highlight w:val="none"/>
          <w:u w:val="none"/>
        </w:rPr>
        <w:t>姓名：</w:t>
      </w:r>
      <w:r>
        <w:rPr>
          <w:rFonts w:hint="eastAsia" w:ascii="仿宋_GB2312" w:hAnsi="仿宋_GB2312" w:eastAsia="仿宋_GB2312" w:cs="仿宋_GB2312"/>
          <w:sz w:val="32"/>
          <w:szCs w:val="32"/>
          <w:highlight w:val="none"/>
          <w:u w:val="none"/>
          <w:lang w:eastAsia="zh-CN"/>
        </w:rPr>
        <w:t>孙</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lang w:eastAsia="zh-CN"/>
        </w:rPr>
        <w:t>明</w:t>
      </w:r>
      <w:r>
        <w:rPr>
          <w:rFonts w:hint="eastAsia" w:ascii="仿宋_GB2312" w:hAnsi="仿宋_GB2312" w:eastAsia="仿宋_GB2312" w:cs="仿宋_GB2312"/>
          <w:sz w:val="32"/>
          <w:szCs w:val="32"/>
          <w:highlight w:val="none"/>
          <w:u w:val="none"/>
        </w:rPr>
        <w:t xml:space="preserve">      　　　　                    </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证件类型及号码</w:t>
      </w:r>
      <w:r>
        <w:rPr>
          <w:rFonts w:hint="eastAsia" w:ascii="仿宋_GB2312" w:hAnsi="仿宋_GB2312" w:eastAsia="仿宋_GB2312" w:cs="仿宋_GB2312"/>
          <w:sz w:val="32"/>
          <w:szCs w:val="32"/>
          <w:highlight w:val="none"/>
          <w:u w:val="none"/>
        </w:rPr>
        <w:t>：</w:t>
      </w:r>
      <w:r>
        <w:rPr>
          <w:rFonts w:hint="eastAsia" w:ascii="仿宋_GB2312" w:hAnsi="仿宋_GB2312" w:cs="仿宋_GB2312"/>
          <w:sz w:val="32"/>
          <w:szCs w:val="32"/>
          <w:highlight w:val="none"/>
          <w:u w:val="none"/>
          <w:lang w:val="en-US" w:eastAsia="zh-CN"/>
        </w:rPr>
        <w:t>44052519******3412</w:t>
      </w:r>
      <w:r>
        <w:rPr>
          <w:rFonts w:hint="eastAsia" w:ascii="仿宋_GB2312" w:hAnsi="仿宋_GB2312" w:eastAsia="仿宋_GB2312" w:cs="仿宋_GB2312"/>
          <w:sz w:val="32"/>
          <w:szCs w:val="32"/>
          <w:highlight w:val="none"/>
          <w:u w:val="none"/>
        </w:rPr>
        <w:t xml:space="preserve">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rPr>
        <w:t>住所（地址）</w:t>
      </w:r>
      <w:r>
        <w:rPr>
          <w:rFonts w:hint="eastAsia" w:ascii="仿宋_GB2312" w:hAnsi="仿宋_GB2312" w:eastAsia="仿宋_GB2312" w:cs="仿宋_GB2312"/>
          <w:sz w:val="32"/>
          <w:szCs w:val="32"/>
          <w:highlight w:val="none"/>
          <w:u w:val="none"/>
          <w:lang w:eastAsia="zh-CN"/>
        </w:rPr>
        <w:t>：阳山县阳城镇工业大道</w:t>
      </w:r>
      <w:r>
        <w:rPr>
          <w:rFonts w:hint="eastAsia" w:ascii="仿宋_GB2312" w:hAnsi="仿宋_GB2312" w:eastAsia="仿宋_GB2312" w:cs="仿宋_GB2312"/>
          <w:sz w:val="32"/>
          <w:szCs w:val="32"/>
          <w:highlight w:val="none"/>
          <w:u w:val="none"/>
          <w:lang w:val="en-US" w:eastAsia="zh-CN"/>
        </w:rPr>
        <w:t>***</w:t>
      </w:r>
      <w:bookmarkStart w:id="1" w:name="_GoBack"/>
      <w:bookmarkEnd w:id="1"/>
      <w:r>
        <w:rPr>
          <w:rFonts w:hint="eastAsia" w:ascii="仿宋_GB2312" w:hAnsi="仿宋_GB2312" w:eastAsia="仿宋_GB2312" w:cs="仿宋_GB2312"/>
          <w:sz w:val="32"/>
          <w:szCs w:val="32"/>
          <w:highlight w:val="none"/>
          <w:u w:val="none"/>
          <w:lang w:val="en-US" w:eastAsia="zh-CN"/>
        </w:rPr>
        <w:t>号一楼</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本单位于 2022 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日对阳山县洋宝房地产开发有限公司涉嫌未按照建设工程规划许可证的规定进行建设的行为进行立案调查。经调查，阳山县洋宝房地产开发有限公司在未经主管部门行政许可情况下，未按照建设工程规划许可证的规定，在阳山县阳城镇工业大道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8号君悦华庭擅自建设的行为如下：</w:t>
      </w:r>
      <w:r>
        <w:rPr>
          <w:rFonts w:hint="eastAsia" w:ascii="仿宋_GB2312" w:hAnsi="仿宋_GB2312" w:eastAsia="仿宋_GB2312" w:cs="仿宋_GB2312"/>
          <w:sz w:val="32"/>
          <w:szCs w:val="32"/>
          <w:lang w:val="en-US" w:eastAsia="zh-CN"/>
        </w:rPr>
        <w:t>1、首层原规划设计存在消防通道，现被占用合并为商铺使用。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其中商铺01占用二层专用梯间8.40m²，商铺02占用二层专用梯间9.33m²，商铺11占用A幢住宅梯间专用通道16.37m²。对商铺11没有按照规划审批的内容进行建设，占用A幢住宅梯间专用通道面积16.37m²，</w:t>
      </w:r>
      <w:r>
        <w:rPr>
          <w:rFonts w:hint="eastAsia" w:ascii="仿宋_GB2312" w:hAnsi="仿宋_GB2312" w:eastAsia="仿宋_GB2312" w:cs="仿宋_GB2312"/>
          <w:color w:val="000000" w:themeColor="text1"/>
          <w:sz w:val="32"/>
          <w:szCs w:val="32"/>
          <w:lang w:eastAsia="zh-CN"/>
          <w14:textFill>
            <w14:solidFill>
              <w14:schemeClr w14:val="tx1"/>
            </w14:solidFill>
          </w14:textFill>
        </w:rPr>
        <w:t>洋宝房地产开发有限公司出售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获利120264.72元</w:t>
      </w:r>
      <w:r>
        <w:rPr>
          <w:rFonts w:hint="eastAsia" w:ascii="仿宋_GB2312" w:hAnsi="仿宋_GB2312" w:eastAsia="仿宋_GB2312" w:cs="仿宋_GB2312"/>
          <w:sz w:val="32"/>
          <w:szCs w:val="32"/>
          <w:lang w:val="en-US" w:eastAsia="zh-CN"/>
        </w:rPr>
        <w:t>；2、原作二层通道楼梯（消防梯）被部分首层商铺占用作商业使用，上下连接出入口已被封闭为地板。3、</w:t>
      </w:r>
      <w:r>
        <w:rPr>
          <w:rFonts w:hint="eastAsia" w:ascii="仿宋_GB2312" w:hAnsi="仿宋_GB2312" w:eastAsia="仿宋_GB2312" w:cs="仿宋_GB2312"/>
          <w:sz w:val="32"/>
          <w:szCs w:val="32"/>
          <w:lang w:eastAsia="zh-CN"/>
        </w:rPr>
        <w:t>原规划设计为架空层的第三层被改建为十套住宅及一套公配用房，涉嫌违法建筑面积</w:t>
      </w:r>
      <w:r>
        <w:rPr>
          <w:rFonts w:hint="eastAsia" w:ascii="仿宋_GB2312" w:hAnsi="仿宋_GB2312" w:eastAsia="仿宋_GB2312" w:cs="仿宋_GB2312"/>
          <w:sz w:val="32"/>
          <w:szCs w:val="32"/>
          <w:lang w:val="en-US" w:eastAsia="zh-CN"/>
        </w:rPr>
        <w:t>1072.51平方米，出售该十套住宅获利3050782元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以上事实有君悦华庭业主《询问笔录》、现场照片、阳山县自然资源局《关于阳山县洋宝房地产开发有限公司涉嫌违法建设的规划定性意见》等证据证实。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你（单位）上述行为违反了《中华人民共和国城乡规划法》第四十三条第一款“建设单位应当按照规划条件进行建设；确需变更的，必须向城市、县人民政府城乡规划主管部门提出申请。变更内容不符合控制性详细规划的，城乡规划主管部门不得批准。城市、县人民政府城乡规划主管部门应当及时将依法变更后的规划条件通报同级土地主管部门并公示。……”和《广东省城乡规划条例》第四十三条第一款“建设单位或者个人应当按照建设工程规划许可的内容进行建设，不得擅自变更；需要变更的，应当经原许可机关批准。……”的规定，构成未按照建设工程规划许可证的规定进行建设，无法采取改正措施消除对规划实施的影响，不能拆除的违法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根据阳山县自然资源局出具</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关于阳山县洋宝房地产开发有限公司涉嫌违法建设的规划定性意见》，阳山县洋宝房地产开发有限公司未按取得建设工程规划许可证进行建设，属于无法采取改正措施消除对规划实施影响的情形，也属于不能拆除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你（单位）违法行为的事实、性质、情节、社会危害程度和相关证据，按照《广东省住房和城乡建设厅关于住房和城乡建设系统行政处罚自由裁量权的基准》（《中华人民共和国城乡规划法》C101.64.2）：未取得建设工程规划许可证或者未按照建设工程规划许可证的规定进行建设，无法采取改正措施消除影响的，违法建筑面积在一千平方米以上的，属于严重违法情节和后果，不能拆除的，没收实物或者违法收入，可以并处建设工程造价百分之七以上百分之十以下的罚款和</w:t>
      </w:r>
      <w:bookmarkStart w:id="0" w:name="_Toc437932898"/>
      <w:r>
        <w:rPr>
          <w:rFonts w:hint="eastAsia" w:ascii="仿宋_GB2312" w:hAnsi="仿宋_GB2312" w:eastAsia="仿宋_GB2312" w:cs="仿宋_GB2312"/>
          <w:sz w:val="32"/>
          <w:szCs w:val="32"/>
          <w:lang w:eastAsia="zh-CN"/>
        </w:rPr>
        <w:t>《广东省住房和城乡建设厅关于住房和城乡建设系统行政处罚自由裁量权的基准》（《广东省城乡规划条例》C102.80.2）</w:t>
      </w:r>
      <w:bookmarkEnd w:id="0"/>
      <w:r>
        <w:rPr>
          <w:rFonts w:hint="eastAsia" w:ascii="仿宋_GB2312" w:hAnsi="仿宋_GB2312" w:eastAsia="仿宋_GB2312" w:cs="仿宋_GB2312"/>
          <w:sz w:val="32"/>
          <w:szCs w:val="32"/>
          <w:lang w:eastAsia="zh-CN"/>
        </w:rPr>
        <w:t>：建设单位或者个人，未依法取得建设工程规划许可证或者未按照建设工程规划许可证的规定进行建设，无法采取改正措施消除对规划实施的影响，不能拆除的，违法建筑面积在一千平方米以上的，属于严重违法情节和后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lang w:eastAsia="zh-CN"/>
        </w:rPr>
        <w:t>根据《中华人民共和国城乡规划法》第六十四条“未取得建设工程规划许可证或者未按照建设工程规划许可证的规定进行建设的，由县级以上地方人民政府城乡规划主管部门责令停止建设；……无法采取改正措施消除影响的，限期拆除，不能拆除的，没收实物或者违法收入，可以并处建设工程造价百分之十以下的罚款。”和《广东省城乡规划条例》第八十条“建设单位或者个人违反本条例第四十条规定，未依法取得建设工程规划许可证或者未按照建设工程规划许可证的规定进行建设的，由当地城市、县人民政府城乡规划主管部门责令停止建设。……无法采取改正措施消除影响的，责令限期拆除；不能拆除的，没收实物或者违法收入，可以并处建设工程造价百分之十以下的罚款。”的规定，</w:t>
      </w:r>
      <w:r>
        <w:rPr>
          <w:rFonts w:hint="eastAsia" w:ascii="仿宋_GB2312" w:hAnsi="仿宋_GB2312" w:eastAsia="仿宋_GB2312" w:cs="仿宋_GB2312"/>
          <w:color w:val="000000" w:themeColor="text1"/>
          <w:sz w:val="32"/>
          <w:szCs w:val="32"/>
          <w:lang w:eastAsia="zh-CN"/>
          <w14:textFill>
            <w14:solidFill>
              <w14:schemeClr w14:val="tx1"/>
            </w14:solidFill>
          </w14:textFill>
        </w:rPr>
        <w:t>由于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你（单位）涉嫌</w:t>
      </w:r>
      <w:r>
        <w:rPr>
          <w:rFonts w:hint="eastAsia" w:ascii="仿宋_GB2312" w:hAnsi="仿宋_GB2312" w:eastAsia="仿宋_GB2312" w:cs="仿宋_GB2312"/>
          <w:color w:val="000000" w:themeColor="text1"/>
          <w:sz w:val="32"/>
          <w:szCs w:val="32"/>
          <w:lang w:eastAsia="zh-CN"/>
          <w14:textFill>
            <w14:solidFill>
              <w14:schemeClr w14:val="tx1"/>
            </w14:solidFill>
          </w14:textFill>
        </w:rPr>
        <w:t>未按照建设工程规划许可证的规定进行建设，无法采取改正措施消除影响，违法建筑面积在一千平方米以上，属于严重违法情节和后果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sz w:val="32"/>
          <w:szCs w:val="32"/>
          <w:lang w:eastAsia="zh-CN"/>
        </w:rPr>
        <w:t>本机关</w:t>
      </w:r>
      <w:r>
        <w:rPr>
          <w:rFonts w:hint="eastAsia" w:ascii="仿宋_GB2312" w:hAnsi="仿宋_GB2312" w:eastAsia="仿宋_GB2312" w:cs="仿宋_GB2312"/>
          <w:sz w:val="32"/>
          <w:szCs w:val="32"/>
          <w:lang w:val="en-US" w:eastAsia="zh-CN"/>
        </w:rPr>
        <w:t>责令你（单位）恢复被合并为商铺的首层消防通道和首层连接二层的通道楼梯（消防梯）；对你（单位）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出售商铺11占用A幢住宅梯间专用通道16.37m²的部分和</w:t>
      </w:r>
      <w:r>
        <w:rPr>
          <w:rFonts w:hint="eastAsia" w:ascii="仿宋_GB2312" w:hAnsi="仿宋_GB2312" w:eastAsia="仿宋_GB2312" w:cs="仿宋_GB2312"/>
          <w:color w:val="000000" w:themeColor="text1"/>
          <w:sz w:val="32"/>
          <w:szCs w:val="32"/>
          <w:lang w:eastAsia="zh-CN"/>
          <w14:textFill>
            <w14:solidFill>
              <w14:schemeClr w14:val="tx1"/>
            </w14:solidFill>
          </w14:textFill>
        </w:rPr>
        <w:t>原规划设计为架空层的第三层的十套住宅所取得的违法收入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3171046.72元予以没收的行政处罚</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依据《中华人民共和国行政处罚法》第七条、第四十四条、第四十五条的规定，你（单位）可在收到本告知书之日起</w:t>
      </w: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sz w:val="32"/>
          <w:szCs w:val="32"/>
          <w:lang w:eastAsia="zh-CN"/>
        </w:rPr>
        <w:t>日内提出书面陈述（申辩）意见，或到阳山县城市管理和综合执法局进行陈述（申辩）。逾期未陈述（申辩）的，视为你（单位）放弃陈述（申辩）权利。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依据《中华人民共和国行政处罚法》第四十四条、第六十三条、第六十四条第一款规定，你（单位）享有要求举行听证的权利。如你（单位）要求听证的，应当在收到本告知书之日起</w:t>
      </w: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sz w:val="32"/>
          <w:szCs w:val="32"/>
          <w:lang w:eastAsia="zh-CN"/>
        </w:rPr>
        <w:t>日内提出听证要求，逾期视为放弃听证。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联系电话： 0763-7881543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单位地址： 阳山县城文昌路南人防大厦一楼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阳山县城市管理和综合执法局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 xml:space="preserve">年 </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lang w:eastAsia="zh-CN"/>
        </w:rPr>
        <w:t xml:space="preserve">日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受送达人：                   </w:t>
      </w:r>
    </w:p>
    <w:p>
      <w:r>
        <w:rPr>
          <w:rFonts w:hint="eastAsia" w:ascii="仿宋_GB2312" w:hAnsi="仿宋_GB2312" w:eastAsia="仿宋_GB2312" w:cs="仿宋_GB2312"/>
          <w:sz w:val="32"/>
          <w:szCs w:val="32"/>
          <w:lang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2B33D5"/>
    <w:rsid w:val="00C560CC"/>
    <w:rsid w:val="01BF7276"/>
    <w:rsid w:val="06267B4D"/>
    <w:rsid w:val="08440B1C"/>
    <w:rsid w:val="0B9B3F91"/>
    <w:rsid w:val="0BEB1C07"/>
    <w:rsid w:val="155935BC"/>
    <w:rsid w:val="17853822"/>
    <w:rsid w:val="1E944D63"/>
    <w:rsid w:val="20A21196"/>
    <w:rsid w:val="234E1B0A"/>
    <w:rsid w:val="26D15E72"/>
    <w:rsid w:val="28C81D9C"/>
    <w:rsid w:val="3E54547B"/>
    <w:rsid w:val="49FF1924"/>
    <w:rsid w:val="4E77169F"/>
    <w:rsid w:val="59351562"/>
    <w:rsid w:val="5BF128B2"/>
    <w:rsid w:val="5C4F3473"/>
    <w:rsid w:val="625E35A5"/>
    <w:rsid w:val="64A93E41"/>
    <w:rsid w:val="6AB16E3B"/>
    <w:rsid w:val="6B2B33D5"/>
    <w:rsid w:val="6D8F3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2024-02-27T01:45:00Z</dcterms:created>
  <dc:creator>黎泽远</dc:creator>
  <cp:lastModifiedBy>Administrator</cp:lastModifiedBy>
  <cp:lastPrinted>2024-04-15T07:41:00Z</cp:lastPrinted>
  <dcterms:modified xsi:type="dcterms:W3CDTF">2024-11-13T08:44:52Z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9D4C4EE4889D4A8299EA8B392E19ACB6</vt:lpwstr>
  </property>
</Properties>
</file>